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532D" w:rsidRPr="00DB532D" w:rsidRDefault="00DB532D" w:rsidP="00DB532D">
      <w:pPr>
        <w:spacing w:after="0" w:line="240" w:lineRule="auto"/>
        <w:rPr>
          <w:rFonts w:ascii="Times New Roman" w:hAnsi="Times New Roman" w:cs="Times New Roman"/>
          <w:sz w:val="24"/>
          <w:szCs w:val="24"/>
          <w:lang w:val="da-DK"/>
        </w:rPr>
      </w:pPr>
      <w:r w:rsidRPr="00DB532D">
        <w:rPr>
          <w:rFonts w:ascii="Times New Roman" w:hAnsi="Times New Roman" w:cs="Times New Roman"/>
          <w:b/>
          <w:bCs/>
          <w:sz w:val="24"/>
          <w:szCs w:val="24"/>
          <w:lang w:val="da-DK"/>
        </w:rPr>
        <w:t>Forsvarsministeriet</w:t>
      </w:r>
    </w:p>
    <w:p w:rsidR="00DB532D" w:rsidRPr="00DB532D" w:rsidRDefault="00DB532D" w:rsidP="00DB532D">
      <w:pPr>
        <w:spacing w:after="0" w:line="240" w:lineRule="auto"/>
        <w:rPr>
          <w:rFonts w:ascii="Times New Roman" w:hAnsi="Times New Roman" w:cs="Times New Roman"/>
          <w:sz w:val="24"/>
          <w:szCs w:val="24"/>
          <w:lang w:val="da-DK"/>
        </w:rPr>
      </w:pPr>
      <w:r w:rsidRPr="00DB532D">
        <w:rPr>
          <w:rFonts w:ascii="Times New Roman" w:hAnsi="Times New Roman" w:cs="Times New Roman"/>
          <w:sz w:val="24"/>
          <w:szCs w:val="24"/>
          <w:lang w:val="da-DK"/>
        </w:rPr>
        <w:t>Internationalt juridisk kontor</w:t>
      </w:r>
    </w:p>
    <w:p w:rsidR="00DB532D" w:rsidRDefault="00DB532D" w:rsidP="00DB532D">
      <w:pPr>
        <w:spacing w:after="0" w:line="240" w:lineRule="auto"/>
        <w:rPr>
          <w:rFonts w:ascii="Times New Roman" w:hAnsi="Times New Roman" w:cs="Times New Roman"/>
          <w:sz w:val="24"/>
          <w:szCs w:val="24"/>
          <w:lang w:val="da-DK"/>
        </w:rPr>
      </w:pPr>
      <w:r w:rsidRPr="00DB532D">
        <w:rPr>
          <w:rFonts w:ascii="Times New Roman" w:hAnsi="Times New Roman" w:cs="Times New Roman"/>
          <w:sz w:val="24"/>
          <w:szCs w:val="24"/>
          <w:lang w:val="da-DK"/>
        </w:rPr>
        <w:t>Holmens kanal 42</w:t>
      </w:r>
    </w:p>
    <w:p w:rsidR="00DB532D" w:rsidRDefault="00DB532D" w:rsidP="00DB532D">
      <w:pPr>
        <w:spacing w:after="0" w:line="240" w:lineRule="auto"/>
        <w:rPr>
          <w:rFonts w:ascii="Times New Roman" w:hAnsi="Times New Roman" w:cs="Times New Roman"/>
          <w:sz w:val="24"/>
          <w:szCs w:val="24"/>
          <w:lang w:val="da-DK"/>
        </w:rPr>
      </w:pPr>
      <w:r>
        <w:rPr>
          <w:rFonts w:ascii="Times New Roman" w:hAnsi="Times New Roman" w:cs="Times New Roman"/>
          <w:sz w:val="24"/>
          <w:szCs w:val="24"/>
          <w:lang w:val="da-DK"/>
        </w:rPr>
        <w:t>1</w:t>
      </w:r>
      <w:r w:rsidRPr="00DB532D">
        <w:rPr>
          <w:rFonts w:ascii="Times New Roman" w:hAnsi="Times New Roman" w:cs="Times New Roman"/>
          <w:sz w:val="24"/>
          <w:szCs w:val="24"/>
          <w:lang w:val="da-DK"/>
        </w:rPr>
        <w:t>060 København K</w:t>
      </w:r>
    </w:p>
    <w:p w:rsidR="00DB532D" w:rsidRPr="00DB532D" w:rsidRDefault="00DB532D" w:rsidP="00DB532D">
      <w:pPr>
        <w:spacing w:after="0" w:line="240" w:lineRule="auto"/>
        <w:rPr>
          <w:rFonts w:ascii="Times New Roman" w:hAnsi="Times New Roman" w:cs="Times New Roman"/>
          <w:sz w:val="24"/>
          <w:szCs w:val="24"/>
          <w:lang w:val="da-DK"/>
        </w:rPr>
      </w:pPr>
      <w:proofErr w:type="spellStart"/>
      <w:r>
        <w:rPr>
          <w:rFonts w:ascii="Times New Roman" w:hAnsi="Times New Roman" w:cs="Times New Roman"/>
          <w:sz w:val="24"/>
          <w:szCs w:val="24"/>
          <w:lang w:val="da-DK"/>
        </w:rPr>
        <w:t>Att</w:t>
      </w:r>
      <w:proofErr w:type="spellEnd"/>
      <w:r>
        <w:rPr>
          <w:rFonts w:ascii="Times New Roman" w:hAnsi="Times New Roman" w:cs="Times New Roman"/>
          <w:sz w:val="24"/>
          <w:szCs w:val="24"/>
          <w:lang w:val="da-DK"/>
        </w:rPr>
        <w:t>: Nicolai Christoffersen</w:t>
      </w:r>
    </w:p>
    <w:p w:rsidR="00DB532D" w:rsidRDefault="00DB532D" w:rsidP="009325B9">
      <w:pPr>
        <w:spacing w:after="0" w:line="360" w:lineRule="auto"/>
        <w:jc w:val="both"/>
        <w:rPr>
          <w:rFonts w:ascii="Times New Roman" w:hAnsi="Times New Roman" w:cs="Times New Roman"/>
          <w:b/>
          <w:sz w:val="28"/>
          <w:szCs w:val="28"/>
          <w:lang w:val="da-DK"/>
        </w:rPr>
      </w:pPr>
    </w:p>
    <w:p w:rsidR="00DB532D" w:rsidRDefault="00DB532D" w:rsidP="009325B9">
      <w:pPr>
        <w:spacing w:after="0" w:line="360" w:lineRule="auto"/>
        <w:jc w:val="both"/>
        <w:rPr>
          <w:rFonts w:ascii="Times New Roman" w:hAnsi="Times New Roman" w:cs="Times New Roman"/>
          <w:b/>
          <w:sz w:val="28"/>
          <w:szCs w:val="28"/>
          <w:lang w:val="da-DK"/>
        </w:rPr>
      </w:pPr>
    </w:p>
    <w:p w:rsidR="00B57118" w:rsidRPr="00DD5C6D" w:rsidRDefault="00DB532D" w:rsidP="00C26E48">
      <w:pPr>
        <w:spacing w:before="100" w:beforeAutospacing="1" w:after="0" w:line="360" w:lineRule="auto"/>
        <w:jc w:val="both"/>
        <w:rPr>
          <w:rFonts w:ascii="Times New Roman" w:hAnsi="Times New Roman" w:cs="Times New Roman"/>
          <w:sz w:val="28"/>
          <w:szCs w:val="28"/>
          <w:u w:val="single"/>
          <w:lang w:val="da-DK"/>
        </w:rPr>
      </w:pPr>
      <w:r w:rsidRPr="00DD5C6D">
        <w:rPr>
          <w:rFonts w:ascii="Times New Roman" w:hAnsi="Times New Roman" w:cs="Times New Roman"/>
          <w:sz w:val="28"/>
          <w:szCs w:val="28"/>
          <w:u w:val="single"/>
          <w:lang w:val="da-DK"/>
        </w:rPr>
        <w:t xml:space="preserve">Høringssvar </w:t>
      </w:r>
      <w:r w:rsidR="00DC7884">
        <w:rPr>
          <w:rFonts w:ascii="Times New Roman" w:hAnsi="Times New Roman" w:cs="Times New Roman"/>
          <w:sz w:val="28"/>
          <w:szCs w:val="28"/>
          <w:u w:val="single"/>
          <w:lang w:val="da-DK"/>
        </w:rPr>
        <w:t xml:space="preserve">til </w:t>
      </w:r>
      <w:r w:rsidRPr="00DD5C6D">
        <w:rPr>
          <w:rFonts w:ascii="Times New Roman" w:hAnsi="Times New Roman" w:cs="Times New Roman"/>
          <w:sz w:val="28"/>
          <w:szCs w:val="28"/>
          <w:u w:val="single"/>
          <w:lang w:val="da-DK"/>
        </w:rPr>
        <w:t xml:space="preserve">udkast til </w:t>
      </w:r>
      <w:r w:rsidR="002104CC" w:rsidRPr="00DD5C6D">
        <w:rPr>
          <w:rFonts w:ascii="Times New Roman" w:hAnsi="Times New Roman" w:cs="Times New Roman"/>
          <w:sz w:val="28"/>
          <w:szCs w:val="28"/>
          <w:u w:val="single"/>
          <w:lang w:val="da-DK"/>
        </w:rPr>
        <w:t>D</w:t>
      </w:r>
      <w:r w:rsidRPr="00DD5C6D">
        <w:rPr>
          <w:rFonts w:ascii="Times New Roman" w:hAnsi="Times New Roman" w:cs="Times New Roman"/>
          <w:sz w:val="28"/>
          <w:szCs w:val="28"/>
          <w:u w:val="single"/>
          <w:lang w:val="da-DK"/>
        </w:rPr>
        <w:t xml:space="preserve">ansk </w:t>
      </w:r>
      <w:r w:rsidR="002104CC" w:rsidRPr="00DD5C6D">
        <w:rPr>
          <w:rFonts w:ascii="Times New Roman" w:hAnsi="Times New Roman" w:cs="Times New Roman"/>
          <w:sz w:val="28"/>
          <w:szCs w:val="28"/>
          <w:u w:val="single"/>
          <w:lang w:val="da-DK"/>
        </w:rPr>
        <w:t>M</w:t>
      </w:r>
      <w:r w:rsidRPr="00DD5C6D">
        <w:rPr>
          <w:rFonts w:ascii="Times New Roman" w:hAnsi="Times New Roman" w:cs="Times New Roman"/>
          <w:sz w:val="28"/>
          <w:szCs w:val="28"/>
          <w:u w:val="single"/>
          <w:lang w:val="da-DK"/>
        </w:rPr>
        <w:t>ilitærmanual</w:t>
      </w:r>
    </w:p>
    <w:p w:rsidR="00DB532D" w:rsidRPr="005B6066" w:rsidRDefault="00DB532D" w:rsidP="00C26E48">
      <w:pPr>
        <w:pStyle w:val="Listeafsnit"/>
        <w:numPr>
          <w:ilvl w:val="0"/>
          <w:numId w:val="2"/>
        </w:numPr>
        <w:spacing w:before="100" w:beforeAutospacing="1" w:after="0" w:line="360" w:lineRule="auto"/>
        <w:jc w:val="both"/>
        <w:rPr>
          <w:rFonts w:ascii="Times New Roman" w:hAnsi="Times New Roman" w:cs="Times New Roman"/>
          <w:b/>
          <w:sz w:val="24"/>
          <w:szCs w:val="24"/>
          <w:lang w:val="da-DK"/>
        </w:rPr>
      </w:pPr>
      <w:r w:rsidRPr="005B6066">
        <w:rPr>
          <w:rFonts w:ascii="Times New Roman" w:hAnsi="Times New Roman" w:cs="Times New Roman"/>
          <w:b/>
          <w:sz w:val="24"/>
          <w:szCs w:val="24"/>
          <w:lang w:val="da-DK"/>
        </w:rPr>
        <w:t>Indledning</w:t>
      </w:r>
    </w:p>
    <w:p w:rsidR="002104CC" w:rsidRDefault="00033DE3" w:rsidP="00C26E48">
      <w:pPr>
        <w:spacing w:before="100" w:beforeAutospacing="1" w:after="0" w:line="360" w:lineRule="auto"/>
        <w:jc w:val="both"/>
        <w:rPr>
          <w:rFonts w:ascii="Times New Roman" w:hAnsi="Times New Roman" w:cs="Times New Roman"/>
          <w:sz w:val="24"/>
          <w:szCs w:val="24"/>
          <w:lang w:val="da-DK"/>
        </w:rPr>
      </w:pPr>
      <w:r w:rsidRPr="00B82210">
        <w:rPr>
          <w:rFonts w:ascii="Times New Roman" w:hAnsi="Times New Roman" w:cs="Times New Roman"/>
          <w:sz w:val="24"/>
          <w:szCs w:val="24"/>
          <w:lang w:val="da-DK"/>
        </w:rPr>
        <w:t xml:space="preserve">Det foreliggende udkast til </w:t>
      </w:r>
      <w:r w:rsidR="002104CC">
        <w:rPr>
          <w:rFonts w:ascii="Times New Roman" w:hAnsi="Times New Roman" w:cs="Times New Roman"/>
          <w:sz w:val="24"/>
          <w:szCs w:val="24"/>
          <w:lang w:val="da-DK"/>
        </w:rPr>
        <w:t xml:space="preserve">Dansk </w:t>
      </w:r>
      <w:r w:rsidRPr="00B82210">
        <w:rPr>
          <w:rFonts w:ascii="Times New Roman" w:hAnsi="Times New Roman" w:cs="Times New Roman"/>
          <w:sz w:val="24"/>
          <w:szCs w:val="24"/>
          <w:lang w:val="da-DK"/>
        </w:rPr>
        <w:t xml:space="preserve">Militærmanual </w:t>
      </w:r>
      <w:r w:rsidR="002104CC">
        <w:rPr>
          <w:rFonts w:ascii="Times New Roman" w:hAnsi="Times New Roman" w:cs="Times New Roman"/>
          <w:sz w:val="24"/>
          <w:szCs w:val="24"/>
          <w:lang w:val="da-DK"/>
        </w:rPr>
        <w:t xml:space="preserve">om folkeret i internationale operationer </w:t>
      </w:r>
      <w:r w:rsidRPr="00B82210">
        <w:rPr>
          <w:rFonts w:ascii="Times New Roman" w:hAnsi="Times New Roman" w:cs="Times New Roman"/>
          <w:sz w:val="24"/>
          <w:szCs w:val="24"/>
          <w:lang w:val="da-DK"/>
        </w:rPr>
        <w:t xml:space="preserve">er af betydeligt omfang </w:t>
      </w:r>
      <w:r w:rsidR="002104CC">
        <w:rPr>
          <w:rFonts w:ascii="Times New Roman" w:hAnsi="Times New Roman" w:cs="Times New Roman"/>
          <w:sz w:val="24"/>
          <w:szCs w:val="24"/>
          <w:lang w:val="da-DK"/>
        </w:rPr>
        <w:t xml:space="preserve">(ca. 600 sider), </w:t>
      </w:r>
      <w:r w:rsidRPr="00B82210">
        <w:rPr>
          <w:rFonts w:ascii="Times New Roman" w:hAnsi="Times New Roman" w:cs="Times New Roman"/>
          <w:sz w:val="24"/>
          <w:szCs w:val="24"/>
          <w:lang w:val="da-DK"/>
        </w:rPr>
        <w:t xml:space="preserve">og vi har </w:t>
      </w:r>
      <w:r w:rsidR="002104CC">
        <w:rPr>
          <w:rFonts w:ascii="Times New Roman" w:hAnsi="Times New Roman" w:cs="Times New Roman"/>
          <w:sz w:val="24"/>
          <w:szCs w:val="24"/>
          <w:lang w:val="da-DK"/>
        </w:rPr>
        <w:t xml:space="preserve">desværre </w:t>
      </w:r>
      <w:r w:rsidRPr="00B82210">
        <w:rPr>
          <w:rFonts w:ascii="Times New Roman" w:hAnsi="Times New Roman" w:cs="Times New Roman"/>
          <w:sz w:val="24"/>
          <w:szCs w:val="24"/>
          <w:lang w:val="da-DK"/>
        </w:rPr>
        <w:t xml:space="preserve">ikke haft </w:t>
      </w:r>
      <w:r w:rsidR="00DC7884">
        <w:rPr>
          <w:rFonts w:ascii="Times New Roman" w:hAnsi="Times New Roman" w:cs="Times New Roman"/>
          <w:sz w:val="24"/>
          <w:szCs w:val="24"/>
          <w:lang w:val="da-DK"/>
        </w:rPr>
        <w:t>mulighed</w:t>
      </w:r>
      <w:r w:rsidR="00DC7884" w:rsidRPr="00B82210">
        <w:rPr>
          <w:rFonts w:ascii="Times New Roman" w:hAnsi="Times New Roman" w:cs="Times New Roman"/>
          <w:sz w:val="24"/>
          <w:szCs w:val="24"/>
          <w:lang w:val="da-DK"/>
        </w:rPr>
        <w:t xml:space="preserve"> </w:t>
      </w:r>
      <w:r w:rsidR="00DC7884">
        <w:rPr>
          <w:rFonts w:ascii="Times New Roman" w:hAnsi="Times New Roman" w:cs="Times New Roman"/>
          <w:sz w:val="24"/>
          <w:szCs w:val="24"/>
          <w:lang w:val="da-DK"/>
        </w:rPr>
        <w:t>for</w:t>
      </w:r>
      <w:r w:rsidRPr="00B82210">
        <w:rPr>
          <w:rFonts w:ascii="Times New Roman" w:hAnsi="Times New Roman" w:cs="Times New Roman"/>
          <w:sz w:val="24"/>
          <w:szCs w:val="24"/>
          <w:lang w:val="da-DK"/>
        </w:rPr>
        <w:t xml:space="preserve"> at </w:t>
      </w:r>
      <w:r w:rsidR="00DC7884">
        <w:rPr>
          <w:rFonts w:ascii="Times New Roman" w:hAnsi="Times New Roman" w:cs="Times New Roman"/>
          <w:sz w:val="24"/>
          <w:szCs w:val="24"/>
          <w:lang w:val="da-DK"/>
        </w:rPr>
        <w:t>nær</w:t>
      </w:r>
      <w:r w:rsidRPr="00B82210">
        <w:rPr>
          <w:rFonts w:ascii="Times New Roman" w:hAnsi="Times New Roman" w:cs="Times New Roman"/>
          <w:sz w:val="24"/>
          <w:szCs w:val="24"/>
          <w:lang w:val="da-DK"/>
        </w:rPr>
        <w:t>studere samtlige dele af udkastet. Det</w:t>
      </w:r>
      <w:r w:rsidR="00DC7884">
        <w:rPr>
          <w:rFonts w:ascii="Times New Roman" w:hAnsi="Times New Roman" w:cs="Times New Roman"/>
          <w:sz w:val="24"/>
          <w:szCs w:val="24"/>
          <w:lang w:val="da-DK"/>
        </w:rPr>
        <w:t>te</w:t>
      </w:r>
      <w:r w:rsidRPr="00B82210">
        <w:rPr>
          <w:rFonts w:ascii="Times New Roman" w:hAnsi="Times New Roman" w:cs="Times New Roman"/>
          <w:sz w:val="24"/>
          <w:szCs w:val="24"/>
          <w:lang w:val="da-DK"/>
        </w:rPr>
        <w:t xml:space="preserve"> svar tager derfor udgangspunkt i en række konkrete nedslagspunkter i manualen, der forekommer af særlig interesse.</w:t>
      </w:r>
      <w:r w:rsidR="00DB532D">
        <w:rPr>
          <w:rFonts w:ascii="Times New Roman" w:hAnsi="Times New Roman" w:cs="Times New Roman"/>
          <w:sz w:val="24"/>
          <w:szCs w:val="24"/>
          <w:lang w:val="da-DK"/>
        </w:rPr>
        <w:t xml:space="preserve"> Det drejer sig </w:t>
      </w:r>
      <w:r w:rsidR="00DC7884">
        <w:rPr>
          <w:rFonts w:ascii="Times New Roman" w:hAnsi="Times New Roman" w:cs="Times New Roman"/>
          <w:sz w:val="24"/>
          <w:szCs w:val="24"/>
          <w:lang w:val="da-DK"/>
        </w:rPr>
        <w:t xml:space="preserve">navnlig </w:t>
      </w:r>
      <w:r w:rsidR="00DB532D">
        <w:rPr>
          <w:rFonts w:ascii="Times New Roman" w:hAnsi="Times New Roman" w:cs="Times New Roman"/>
          <w:sz w:val="24"/>
          <w:szCs w:val="24"/>
          <w:lang w:val="da-DK"/>
        </w:rPr>
        <w:t xml:space="preserve">om indholdet af kapitlerne 2 og 12. </w:t>
      </w:r>
    </w:p>
    <w:p w:rsidR="002104CC" w:rsidRDefault="002104CC" w:rsidP="00C26E48">
      <w:pPr>
        <w:spacing w:before="100" w:beforeAutospacing="1" w:after="0" w:line="360" w:lineRule="auto"/>
        <w:jc w:val="both"/>
        <w:rPr>
          <w:rFonts w:ascii="Times New Roman" w:hAnsi="Times New Roman" w:cs="Times New Roman"/>
          <w:sz w:val="24"/>
          <w:szCs w:val="24"/>
          <w:lang w:val="da-DK"/>
        </w:rPr>
      </w:pPr>
      <w:r>
        <w:rPr>
          <w:rFonts w:ascii="Times New Roman" w:hAnsi="Times New Roman" w:cs="Times New Roman"/>
          <w:sz w:val="24"/>
          <w:szCs w:val="24"/>
          <w:lang w:val="da-DK"/>
        </w:rPr>
        <w:t xml:space="preserve">Følgende personer har bidraget til udarbejdelsen af høringsvaret: </w:t>
      </w:r>
    </w:p>
    <w:p w:rsidR="002104CC" w:rsidRDefault="002104CC" w:rsidP="00C26E48">
      <w:pPr>
        <w:pStyle w:val="Listeafsnit"/>
        <w:numPr>
          <w:ilvl w:val="0"/>
          <w:numId w:val="1"/>
        </w:numPr>
        <w:spacing w:before="100" w:beforeAutospacing="1" w:after="0" w:line="360" w:lineRule="auto"/>
        <w:jc w:val="both"/>
        <w:rPr>
          <w:rFonts w:ascii="Times New Roman" w:hAnsi="Times New Roman" w:cs="Times New Roman"/>
          <w:sz w:val="24"/>
          <w:szCs w:val="24"/>
          <w:lang w:val="da-DK"/>
        </w:rPr>
      </w:pPr>
      <w:r>
        <w:rPr>
          <w:rFonts w:ascii="Times New Roman" w:hAnsi="Times New Roman" w:cs="Times New Roman"/>
          <w:sz w:val="24"/>
          <w:szCs w:val="24"/>
          <w:lang w:val="da-DK"/>
        </w:rPr>
        <w:t xml:space="preserve">Professor Jens Elo Rytter </w:t>
      </w:r>
    </w:p>
    <w:p w:rsidR="002104CC" w:rsidRDefault="002104CC" w:rsidP="00C26E48">
      <w:pPr>
        <w:pStyle w:val="Listeafsnit"/>
        <w:numPr>
          <w:ilvl w:val="0"/>
          <w:numId w:val="1"/>
        </w:numPr>
        <w:spacing w:before="100" w:beforeAutospacing="1" w:after="0" w:line="360" w:lineRule="auto"/>
        <w:jc w:val="both"/>
        <w:rPr>
          <w:rFonts w:ascii="Times New Roman" w:hAnsi="Times New Roman" w:cs="Times New Roman"/>
          <w:sz w:val="24"/>
          <w:szCs w:val="24"/>
          <w:lang w:val="da-DK"/>
        </w:rPr>
      </w:pPr>
      <w:r>
        <w:rPr>
          <w:rFonts w:ascii="Times New Roman" w:hAnsi="Times New Roman" w:cs="Times New Roman"/>
          <w:sz w:val="24"/>
          <w:szCs w:val="24"/>
          <w:lang w:val="da-DK"/>
        </w:rPr>
        <w:t>Lektor Anders Henriksen</w:t>
      </w:r>
    </w:p>
    <w:p w:rsidR="00C26E48" w:rsidRPr="002104CC" w:rsidRDefault="00C26E48" w:rsidP="00C26E48">
      <w:pPr>
        <w:pStyle w:val="Listeafsnit"/>
        <w:spacing w:before="100" w:beforeAutospacing="1" w:after="0" w:line="360" w:lineRule="auto"/>
        <w:jc w:val="both"/>
        <w:rPr>
          <w:rFonts w:ascii="Times New Roman" w:hAnsi="Times New Roman" w:cs="Times New Roman"/>
          <w:sz w:val="24"/>
          <w:szCs w:val="24"/>
          <w:u w:val="single"/>
          <w:lang w:val="da-DK"/>
        </w:rPr>
      </w:pPr>
    </w:p>
    <w:p w:rsidR="002104CC" w:rsidRPr="005B6066" w:rsidRDefault="00C26E48" w:rsidP="00C26E48">
      <w:pPr>
        <w:pStyle w:val="Listeafsnit"/>
        <w:numPr>
          <w:ilvl w:val="0"/>
          <w:numId w:val="2"/>
        </w:numPr>
        <w:spacing w:before="100" w:beforeAutospacing="1" w:after="0" w:line="360" w:lineRule="auto"/>
        <w:jc w:val="both"/>
        <w:rPr>
          <w:rFonts w:ascii="Times New Roman" w:hAnsi="Times New Roman" w:cs="Times New Roman"/>
          <w:b/>
          <w:sz w:val="24"/>
          <w:szCs w:val="24"/>
          <w:lang w:val="da-DK"/>
        </w:rPr>
      </w:pPr>
      <w:r w:rsidRPr="005B6066">
        <w:rPr>
          <w:rFonts w:ascii="Times New Roman" w:hAnsi="Times New Roman" w:cs="Times New Roman"/>
          <w:b/>
          <w:sz w:val="24"/>
          <w:szCs w:val="24"/>
          <w:lang w:val="da-DK"/>
        </w:rPr>
        <w:t>Samlet indtryk</w:t>
      </w:r>
    </w:p>
    <w:p w:rsidR="002104CC" w:rsidRDefault="002104CC" w:rsidP="00C26E48">
      <w:pPr>
        <w:spacing w:before="100" w:beforeAutospacing="1" w:after="0" w:line="360" w:lineRule="auto"/>
        <w:jc w:val="both"/>
        <w:rPr>
          <w:rFonts w:ascii="Times New Roman" w:hAnsi="Times New Roman" w:cs="Times New Roman"/>
          <w:sz w:val="24"/>
          <w:szCs w:val="24"/>
          <w:lang w:val="da-DK"/>
        </w:rPr>
      </w:pPr>
      <w:r>
        <w:rPr>
          <w:rFonts w:ascii="Times New Roman" w:hAnsi="Times New Roman" w:cs="Times New Roman"/>
          <w:sz w:val="24"/>
          <w:szCs w:val="24"/>
          <w:lang w:val="da-DK"/>
        </w:rPr>
        <w:t xml:space="preserve">Udkastet udgør et omfattende og ambitiøst forsøg på at fastlægge </w:t>
      </w:r>
      <w:r w:rsidR="00DC7884">
        <w:rPr>
          <w:rFonts w:ascii="Times New Roman" w:hAnsi="Times New Roman" w:cs="Times New Roman"/>
          <w:sz w:val="24"/>
          <w:szCs w:val="24"/>
          <w:lang w:val="da-DK"/>
        </w:rPr>
        <w:t xml:space="preserve">’en </w:t>
      </w:r>
      <w:r>
        <w:rPr>
          <w:rFonts w:ascii="Times New Roman" w:hAnsi="Times New Roman" w:cs="Times New Roman"/>
          <w:sz w:val="24"/>
          <w:szCs w:val="24"/>
          <w:lang w:val="da-DK"/>
        </w:rPr>
        <w:t>dansk linje</w:t>
      </w:r>
      <w:r w:rsidR="00DC7884">
        <w:rPr>
          <w:rFonts w:ascii="Times New Roman" w:hAnsi="Times New Roman" w:cs="Times New Roman"/>
          <w:sz w:val="24"/>
          <w:szCs w:val="24"/>
          <w:lang w:val="da-DK"/>
        </w:rPr>
        <w:t>’</w:t>
      </w:r>
      <w:r>
        <w:rPr>
          <w:rFonts w:ascii="Times New Roman" w:hAnsi="Times New Roman" w:cs="Times New Roman"/>
          <w:sz w:val="24"/>
          <w:szCs w:val="24"/>
          <w:lang w:val="da-DK"/>
        </w:rPr>
        <w:t xml:space="preserve"> i forhold til den folkeretlige regulering af militære operationer. </w:t>
      </w:r>
      <w:r w:rsidR="009929CF">
        <w:rPr>
          <w:rFonts w:ascii="Times New Roman" w:hAnsi="Times New Roman" w:cs="Times New Roman"/>
          <w:sz w:val="24"/>
          <w:szCs w:val="24"/>
          <w:lang w:val="da-DK"/>
        </w:rPr>
        <w:t xml:space="preserve">Der gives på </w:t>
      </w:r>
      <w:r w:rsidR="000F73AC">
        <w:rPr>
          <w:rFonts w:ascii="Times New Roman" w:hAnsi="Times New Roman" w:cs="Times New Roman"/>
          <w:sz w:val="24"/>
          <w:szCs w:val="24"/>
          <w:lang w:val="da-DK"/>
        </w:rPr>
        <w:t>flere punkter en udførlig indføring i væsentlige dele af folkeretten, herunder først og fremmest den humanitære folkeret,</w:t>
      </w:r>
      <w:r w:rsidR="00900BC2">
        <w:rPr>
          <w:rFonts w:ascii="Times New Roman" w:hAnsi="Times New Roman" w:cs="Times New Roman"/>
          <w:sz w:val="24"/>
          <w:szCs w:val="24"/>
          <w:lang w:val="da-DK"/>
        </w:rPr>
        <w:t xml:space="preserve"> og manualen udgør samlet set et velkomment bidrag til </w:t>
      </w:r>
      <w:r w:rsidR="009929CF">
        <w:rPr>
          <w:rFonts w:ascii="Times New Roman" w:hAnsi="Times New Roman" w:cs="Times New Roman"/>
          <w:sz w:val="24"/>
          <w:szCs w:val="24"/>
          <w:lang w:val="da-DK"/>
        </w:rPr>
        <w:t xml:space="preserve">området. Der er imidlertid også en del væsentlige folkeretlige emner og spørgsmål, der ikke i tilstrækkeligt omfang </w:t>
      </w:r>
      <w:r w:rsidR="00DC7884">
        <w:rPr>
          <w:rFonts w:ascii="Times New Roman" w:hAnsi="Times New Roman" w:cs="Times New Roman"/>
          <w:sz w:val="24"/>
          <w:szCs w:val="24"/>
          <w:lang w:val="da-DK"/>
        </w:rPr>
        <w:t xml:space="preserve">behandles </w:t>
      </w:r>
      <w:r w:rsidR="009929CF">
        <w:rPr>
          <w:rFonts w:ascii="Times New Roman" w:hAnsi="Times New Roman" w:cs="Times New Roman"/>
          <w:sz w:val="24"/>
          <w:szCs w:val="24"/>
          <w:lang w:val="da-DK"/>
        </w:rPr>
        <w:t>i manualen</w:t>
      </w:r>
      <w:r w:rsidR="00DC7884">
        <w:rPr>
          <w:rFonts w:ascii="Times New Roman" w:hAnsi="Times New Roman" w:cs="Times New Roman"/>
          <w:sz w:val="24"/>
          <w:szCs w:val="24"/>
          <w:lang w:val="da-DK"/>
        </w:rPr>
        <w:t>,</w:t>
      </w:r>
      <w:r w:rsidR="009929CF">
        <w:rPr>
          <w:rFonts w:ascii="Times New Roman" w:hAnsi="Times New Roman" w:cs="Times New Roman"/>
          <w:sz w:val="24"/>
          <w:szCs w:val="24"/>
          <w:lang w:val="da-DK"/>
        </w:rPr>
        <w:t xml:space="preserve"> og der savnes flere steder en mere dybdegående analyse. </w:t>
      </w:r>
      <w:r w:rsidR="00DC7884">
        <w:rPr>
          <w:rFonts w:ascii="Times New Roman" w:hAnsi="Times New Roman" w:cs="Times New Roman"/>
          <w:sz w:val="24"/>
          <w:szCs w:val="24"/>
          <w:lang w:val="da-DK"/>
        </w:rPr>
        <w:t>Dette gælder</w:t>
      </w:r>
      <w:r w:rsidR="009929CF">
        <w:rPr>
          <w:rFonts w:ascii="Times New Roman" w:hAnsi="Times New Roman" w:cs="Times New Roman"/>
          <w:sz w:val="24"/>
          <w:szCs w:val="24"/>
          <w:lang w:val="da-DK"/>
        </w:rPr>
        <w:t xml:space="preserve"> bl.a. en række af de </w:t>
      </w:r>
      <w:r w:rsidR="00DC7884">
        <w:rPr>
          <w:rFonts w:ascii="Times New Roman" w:hAnsi="Times New Roman" w:cs="Times New Roman"/>
          <w:sz w:val="24"/>
          <w:szCs w:val="24"/>
          <w:lang w:val="da-DK"/>
        </w:rPr>
        <w:t xml:space="preserve">mest omdiskuterede </w:t>
      </w:r>
      <w:r w:rsidR="009929CF">
        <w:rPr>
          <w:rFonts w:ascii="Times New Roman" w:hAnsi="Times New Roman" w:cs="Times New Roman"/>
          <w:sz w:val="24"/>
          <w:szCs w:val="24"/>
          <w:lang w:val="da-DK"/>
        </w:rPr>
        <w:t>spørgsmål</w:t>
      </w:r>
      <w:r w:rsidR="00DC7884">
        <w:rPr>
          <w:rFonts w:ascii="Times New Roman" w:hAnsi="Times New Roman" w:cs="Times New Roman"/>
          <w:sz w:val="24"/>
          <w:szCs w:val="24"/>
          <w:lang w:val="da-DK"/>
        </w:rPr>
        <w:t xml:space="preserve"> </w:t>
      </w:r>
      <w:r w:rsidR="009929CF">
        <w:rPr>
          <w:rFonts w:ascii="Times New Roman" w:hAnsi="Times New Roman" w:cs="Times New Roman"/>
          <w:sz w:val="24"/>
          <w:szCs w:val="24"/>
          <w:lang w:val="da-DK"/>
        </w:rPr>
        <w:t xml:space="preserve">i forbindelse med Danmarks deltagelse i internationale operationer </w:t>
      </w:r>
      <w:r w:rsidR="00DC7884">
        <w:rPr>
          <w:rFonts w:ascii="Times New Roman" w:hAnsi="Times New Roman" w:cs="Times New Roman"/>
          <w:sz w:val="24"/>
          <w:szCs w:val="24"/>
          <w:lang w:val="da-DK"/>
        </w:rPr>
        <w:t xml:space="preserve">siden </w:t>
      </w:r>
      <w:r w:rsidR="009929CF">
        <w:rPr>
          <w:rFonts w:ascii="Times New Roman" w:hAnsi="Times New Roman" w:cs="Times New Roman"/>
          <w:sz w:val="24"/>
          <w:szCs w:val="24"/>
          <w:lang w:val="da-DK"/>
        </w:rPr>
        <w:t>den Kolde Krig</w:t>
      </w:r>
      <w:r w:rsidR="00DC7884">
        <w:rPr>
          <w:rFonts w:ascii="Times New Roman" w:hAnsi="Times New Roman" w:cs="Times New Roman"/>
          <w:sz w:val="24"/>
          <w:szCs w:val="24"/>
          <w:lang w:val="da-DK"/>
        </w:rPr>
        <w:t xml:space="preserve"> afslutning</w:t>
      </w:r>
      <w:r w:rsidR="009929CF">
        <w:rPr>
          <w:rFonts w:ascii="Times New Roman" w:hAnsi="Times New Roman" w:cs="Times New Roman"/>
          <w:sz w:val="24"/>
          <w:szCs w:val="24"/>
          <w:lang w:val="da-DK"/>
        </w:rPr>
        <w:t xml:space="preserve">.   </w:t>
      </w:r>
      <w:r w:rsidR="00900BC2">
        <w:rPr>
          <w:rFonts w:ascii="Times New Roman" w:hAnsi="Times New Roman" w:cs="Times New Roman"/>
          <w:sz w:val="24"/>
          <w:szCs w:val="24"/>
          <w:lang w:val="da-DK"/>
        </w:rPr>
        <w:t xml:space="preserve"> </w:t>
      </w:r>
      <w:r w:rsidR="000F73AC">
        <w:rPr>
          <w:rFonts w:ascii="Times New Roman" w:hAnsi="Times New Roman" w:cs="Times New Roman"/>
          <w:sz w:val="24"/>
          <w:szCs w:val="24"/>
          <w:lang w:val="da-DK"/>
        </w:rPr>
        <w:t xml:space="preserve"> </w:t>
      </w:r>
    </w:p>
    <w:p w:rsidR="002104CC" w:rsidRPr="002104CC" w:rsidRDefault="002104CC" w:rsidP="00C26E48">
      <w:pPr>
        <w:spacing w:before="100" w:beforeAutospacing="1" w:after="0" w:line="360" w:lineRule="auto"/>
        <w:jc w:val="both"/>
        <w:rPr>
          <w:rFonts w:ascii="Times New Roman" w:hAnsi="Times New Roman" w:cs="Times New Roman"/>
          <w:sz w:val="24"/>
          <w:szCs w:val="24"/>
          <w:lang w:val="da-DK"/>
        </w:rPr>
      </w:pPr>
    </w:p>
    <w:p w:rsidR="00A67FB0" w:rsidRPr="005B6066" w:rsidRDefault="00C26E48" w:rsidP="005B6066">
      <w:pPr>
        <w:pStyle w:val="Listeafsnit"/>
        <w:numPr>
          <w:ilvl w:val="0"/>
          <w:numId w:val="2"/>
        </w:numPr>
        <w:spacing w:before="100" w:beforeAutospacing="1" w:after="0" w:line="360" w:lineRule="auto"/>
        <w:jc w:val="both"/>
        <w:rPr>
          <w:rFonts w:ascii="Times New Roman" w:hAnsi="Times New Roman" w:cs="Times New Roman"/>
          <w:b/>
          <w:sz w:val="24"/>
          <w:szCs w:val="24"/>
          <w:lang w:val="da-DK"/>
        </w:rPr>
      </w:pPr>
      <w:r w:rsidRPr="005B6066">
        <w:rPr>
          <w:rFonts w:ascii="Times New Roman" w:hAnsi="Times New Roman" w:cs="Times New Roman"/>
          <w:b/>
          <w:sz w:val="24"/>
          <w:szCs w:val="24"/>
          <w:lang w:val="da-DK"/>
        </w:rPr>
        <w:lastRenderedPageBreak/>
        <w:t>Kommentarer til k</w:t>
      </w:r>
      <w:r w:rsidR="00A67FB0" w:rsidRPr="005B6066">
        <w:rPr>
          <w:rFonts w:ascii="Times New Roman" w:hAnsi="Times New Roman" w:cs="Times New Roman"/>
          <w:b/>
          <w:sz w:val="24"/>
          <w:szCs w:val="24"/>
          <w:lang w:val="da-DK"/>
        </w:rPr>
        <w:t xml:space="preserve">apitel 2 </w:t>
      </w:r>
      <w:r w:rsidRPr="005B6066">
        <w:rPr>
          <w:rFonts w:ascii="Times New Roman" w:hAnsi="Times New Roman" w:cs="Times New Roman"/>
          <w:b/>
          <w:sz w:val="24"/>
          <w:szCs w:val="24"/>
          <w:lang w:val="da-DK"/>
        </w:rPr>
        <w:t>’</w:t>
      </w:r>
      <w:r w:rsidR="00A67FB0" w:rsidRPr="005B6066">
        <w:rPr>
          <w:rFonts w:ascii="Times New Roman" w:hAnsi="Times New Roman" w:cs="Times New Roman"/>
          <w:b/>
          <w:sz w:val="24"/>
          <w:szCs w:val="24"/>
          <w:lang w:val="da-DK"/>
        </w:rPr>
        <w:t>Den internationale militære operation</w:t>
      </w:r>
      <w:r w:rsidRPr="005B6066">
        <w:rPr>
          <w:rFonts w:ascii="Times New Roman" w:hAnsi="Times New Roman" w:cs="Times New Roman"/>
          <w:b/>
          <w:sz w:val="24"/>
          <w:szCs w:val="24"/>
          <w:lang w:val="da-DK"/>
        </w:rPr>
        <w:t>’</w:t>
      </w:r>
      <w:r w:rsidR="00A67FB0" w:rsidRPr="005B6066">
        <w:rPr>
          <w:rFonts w:ascii="Times New Roman" w:hAnsi="Times New Roman" w:cs="Times New Roman"/>
          <w:b/>
          <w:sz w:val="24"/>
          <w:szCs w:val="24"/>
          <w:lang w:val="da-DK"/>
        </w:rPr>
        <w:t xml:space="preserve"> </w:t>
      </w:r>
    </w:p>
    <w:p w:rsidR="00A058A7" w:rsidRDefault="00A67FB0" w:rsidP="00C26E48">
      <w:pPr>
        <w:spacing w:before="100" w:beforeAutospacing="1" w:after="0" w:line="360" w:lineRule="auto"/>
        <w:jc w:val="both"/>
        <w:rPr>
          <w:rFonts w:ascii="Times New Roman" w:hAnsi="Times New Roman" w:cs="Times New Roman"/>
          <w:sz w:val="24"/>
          <w:szCs w:val="24"/>
          <w:lang w:val="da-DK"/>
        </w:rPr>
      </w:pPr>
      <w:r w:rsidRPr="00B82210">
        <w:rPr>
          <w:rFonts w:ascii="Times New Roman" w:hAnsi="Times New Roman" w:cs="Times New Roman"/>
          <w:sz w:val="24"/>
          <w:szCs w:val="24"/>
          <w:lang w:val="da-DK"/>
        </w:rPr>
        <w:t>Det fremgår af udkastet, at</w:t>
      </w:r>
      <w:r w:rsidR="0042072C">
        <w:rPr>
          <w:rFonts w:ascii="Times New Roman" w:hAnsi="Times New Roman" w:cs="Times New Roman"/>
          <w:sz w:val="24"/>
          <w:szCs w:val="24"/>
          <w:lang w:val="da-DK"/>
        </w:rPr>
        <w:t xml:space="preserve"> </w:t>
      </w:r>
      <w:r w:rsidRPr="00B82210">
        <w:rPr>
          <w:rFonts w:ascii="Times New Roman" w:hAnsi="Times New Roman" w:cs="Times New Roman"/>
          <w:sz w:val="24"/>
          <w:szCs w:val="24"/>
          <w:lang w:val="da-DK"/>
        </w:rPr>
        <w:t>humanitær intervention</w:t>
      </w:r>
      <w:r w:rsidR="00DC7884">
        <w:rPr>
          <w:rFonts w:ascii="Times New Roman" w:hAnsi="Times New Roman" w:cs="Times New Roman"/>
          <w:sz w:val="24"/>
          <w:szCs w:val="24"/>
          <w:lang w:val="da-DK"/>
        </w:rPr>
        <w:t>’</w:t>
      </w:r>
      <w:r w:rsidRPr="00B82210">
        <w:rPr>
          <w:rFonts w:ascii="Times New Roman" w:hAnsi="Times New Roman" w:cs="Times New Roman"/>
          <w:sz w:val="24"/>
          <w:szCs w:val="24"/>
          <w:lang w:val="da-DK"/>
        </w:rPr>
        <w:t>(s. 10 og s. 16). De</w:t>
      </w:r>
      <w:r w:rsidR="00C97074">
        <w:rPr>
          <w:rFonts w:ascii="Times New Roman" w:hAnsi="Times New Roman" w:cs="Times New Roman"/>
          <w:sz w:val="24"/>
          <w:szCs w:val="24"/>
          <w:lang w:val="da-DK"/>
        </w:rPr>
        <w:t>t</w:t>
      </w:r>
      <w:r w:rsidR="00DC7884">
        <w:rPr>
          <w:rFonts w:ascii="Times New Roman" w:hAnsi="Times New Roman" w:cs="Times New Roman"/>
          <w:sz w:val="24"/>
          <w:szCs w:val="24"/>
          <w:lang w:val="da-DK"/>
        </w:rPr>
        <w:t xml:space="preserve">te er et kontroversielt </w:t>
      </w:r>
      <w:r w:rsidRPr="00B82210">
        <w:rPr>
          <w:rFonts w:ascii="Times New Roman" w:hAnsi="Times New Roman" w:cs="Times New Roman"/>
          <w:sz w:val="24"/>
          <w:szCs w:val="24"/>
          <w:lang w:val="da-DK"/>
        </w:rPr>
        <w:t xml:space="preserve">synspunkt, </w:t>
      </w:r>
      <w:r w:rsidR="00DC7884">
        <w:rPr>
          <w:rFonts w:ascii="Times New Roman" w:hAnsi="Times New Roman" w:cs="Times New Roman"/>
          <w:sz w:val="24"/>
          <w:szCs w:val="24"/>
          <w:lang w:val="da-DK"/>
        </w:rPr>
        <w:t>som næppe kan siges at nyde bred tilslutning</w:t>
      </w:r>
      <w:r w:rsidRPr="00B82210">
        <w:rPr>
          <w:rFonts w:ascii="Times New Roman" w:hAnsi="Times New Roman" w:cs="Times New Roman"/>
          <w:sz w:val="24"/>
          <w:szCs w:val="24"/>
          <w:lang w:val="da-DK"/>
        </w:rPr>
        <w:t xml:space="preserve"> i</w:t>
      </w:r>
      <w:r w:rsidR="00BC550C" w:rsidRPr="00B82210">
        <w:rPr>
          <w:rFonts w:ascii="Times New Roman" w:hAnsi="Times New Roman" w:cs="Times New Roman"/>
          <w:sz w:val="24"/>
          <w:szCs w:val="24"/>
          <w:lang w:val="da-DK"/>
        </w:rPr>
        <w:t xml:space="preserve"> det internationale samfund. </w:t>
      </w:r>
    </w:p>
    <w:p w:rsidR="00A67FB0" w:rsidRPr="00B82210" w:rsidRDefault="00BC550C" w:rsidP="00C26E48">
      <w:pPr>
        <w:spacing w:before="100" w:beforeAutospacing="1" w:after="0" w:line="360" w:lineRule="auto"/>
        <w:jc w:val="both"/>
        <w:rPr>
          <w:rFonts w:ascii="Times New Roman" w:hAnsi="Times New Roman" w:cs="Times New Roman"/>
          <w:sz w:val="24"/>
          <w:szCs w:val="24"/>
          <w:lang w:val="da-DK"/>
        </w:rPr>
      </w:pPr>
      <w:r w:rsidRPr="00B82210">
        <w:rPr>
          <w:rFonts w:ascii="Times New Roman" w:hAnsi="Times New Roman" w:cs="Times New Roman"/>
          <w:sz w:val="24"/>
          <w:szCs w:val="24"/>
          <w:lang w:val="da-DK"/>
        </w:rPr>
        <w:t xml:space="preserve">Det </w:t>
      </w:r>
      <w:r w:rsidR="00A058A7">
        <w:rPr>
          <w:rFonts w:ascii="Times New Roman" w:hAnsi="Times New Roman" w:cs="Times New Roman"/>
          <w:sz w:val="24"/>
          <w:szCs w:val="24"/>
          <w:lang w:val="da-DK"/>
        </w:rPr>
        <w:t>kan diskuteres</w:t>
      </w:r>
      <w:r w:rsidRPr="00B82210">
        <w:rPr>
          <w:rFonts w:ascii="Times New Roman" w:hAnsi="Times New Roman" w:cs="Times New Roman"/>
          <w:sz w:val="24"/>
          <w:szCs w:val="24"/>
          <w:lang w:val="da-DK"/>
        </w:rPr>
        <w:t xml:space="preserve">, om det er i en ’småstat’ som Danmarks langsigtede strategiske interesse at arbejde for en folkeretlig retsorden, der vil gøre det nemmere for stater at anvende international magt.   </w:t>
      </w:r>
      <w:r w:rsidR="00A67FB0" w:rsidRPr="00B82210">
        <w:rPr>
          <w:rFonts w:ascii="Times New Roman" w:hAnsi="Times New Roman" w:cs="Times New Roman"/>
          <w:sz w:val="24"/>
          <w:szCs w:val="24"/>
          <w:lang w:val="da-DK"/>
        </w:rPr>
        <w:t xml:space="preserve">  </w:t>
      </w:r>
    </w:p>
    <w:p w:rsidR="00A61314" w:rsidRPr="00B82210" w:rsidRDefault="00BC550C" w:rsidP="00C26E48">
      <w:pPr>
        <w:spacing w:before="100" w:beforeAutospacing="1" w:after="0" w:line="360" w:lineRule="auto"/>
        <w:jc w:val="both"/>
        <w:rPr>
          <w:rFonts w:ascii="Times New Roman" w:hAnsi="Times New Roman" w:cs="Times New Roman"/>
          <w:sz w:val="24"/>
          <w:szCs w:val="24"/>
          <w:lang w:val="da-DK"/>
        </w:rPr>
      </w:pPr>
      <w:r w:rsidRPr="00B82210">
        <w:rPr>
          <w:rFonts w:ascii="Times New Roman" w:hAnsi="Times New Roman" w:cs="Times New Roman"/>
          <w:sz w:val="24"/>
          <w:szCs w:val="24"/>
          <w:lang w:val="da-DK"/>
        </w:rPr>
        <w:t>Det bemærkes i afsnit 2.2.3., at en selvforsvarshandling skal være nødvendig. Det fremgår samme sted, at det ’bør overvejes’, om en selvforsvarshandling er nødvendig, hvis der har været tale om en enkeltstående handling</w:t>
      </w:r>
      <w:r w:rsidR="00DC7884">
        <w:rPr>
          <w:rFonts w:ascii="Times New Roman" w:hAnsi="Times New Roman" w:cs="Times New Roman"/>
          <w:sz w:val="24"/>
          <w:szCs w:val="24"/>
          <w:lang w:val="da-DK"/>
        </w:rPr>
        <w:t>,</w:t>
      </w:r>
      <w:r w:rsidRPr="00B82210">
        <w:rPr>
          <w:rFonts w:ascii="Times New Roman" w:hAnsi="Times New Roman" w:cs="Times New Roman"/>
          <w:sz w:val="24"/>
          <w:szCs w:val="24"/>
          <w:lang w:val="da-DK"/>
        </w:rPr>
        <w:t xml:space="preserve"> eller hvis det vurderes, at en diplomatisk indsats vil kunne bilægge tvisten. Det er svært at se, hvordan </w:t>
      </w:r>
      <w:r w:rsidR="00DC7884" w:rsidRPr="00B82210">
        <w:rPr>
          <w:rFonts w:ascii="Times New Roman" w:hAnsi="Times New Roman" w:cs="Times New Roman"/>
          <w:sz w:val="24"/>
          <w:szCs w:val="24"/>
          <w:lang w:val="da-DK"/>
        </w:rPr>
        <w:t>de</w:t>
      </w:r>
      <w:r w:rsidR="00DC7884">
        <w:rPr>
          <w:rFonts w:ascii="Times New Roman" w:hAnsi="Times New Roman" w:cs="Times New Roman"/>
          <w:sz w:val="24"/>
          <w:szCs w:val="24"/>
          <w:lang w:val="da-DK"/>
        </w:rPr>
        <w:t>r</w:t>
      </w:r>
      <w:r w:rsidR="00DC7884" w:rsidRPr="00B82210">
        <w:rPr>
          <w:rFonts w:ascii="Times New Roman" w:hAnsi="Times New Roman" w:cs="Times New Roman"/>
          <w:sz w:val="24"/>
          <w:szCs w:val="24"/>
          <w:lang w:val="da-DK"/>
        </w:rPr>
        <w:t xml:space="preserve"> </w:t>
      </w:r>
      <w:r w:rsidRPr="00B82210">
        <w:rPr>
          <w:rFonts w:ascii="Times New Roman" w:hAnsi="Times New Roman" w:cs="Times New Roman"/>
          <w:sz w:val="24"/>
          <w:szCs w:val="24"/>
          <w:lang w:val="da-DK"/>
        </w:rPr>
        <w:t xml:space="preserve">i sådanne tilfælde </w:t>
      </w:r>
      <w:r w:rsidR="00A61314" w:rsidRPr="00B82210">
        <w:rPr>
          <w:rFonts w:ascii="Times New Roman" w:hAnsi="Times New Roman" w:cs="Times New Roman"/>
          <w:sz w:val="24"/>
          <w:szCs w:val="24"/>
          <w:lang w:val="da-DK"/>
        </w:rPr>
        <w:t xml:space="preserve">nogensinde </w:t>
      </w:r>
      <w:r w:rsidRPr="00B82210">
        <w:rPr>
          <w:rFonts w:ascii="Times New Roman" w:hAnsi="Times New Roman" w:cs="Times New Roman"/>
          <w:sz w:val="24"/>
          <w:szCs w:val="24"/>
          <w:lang w:val="da-DK"/>
        </w:rPr>
        <w:t xml:space="preserve">skulle kunne </w:t>
      </w:r>
      <w:r w:rsidR="00DC7884" w:rsidRPr="00B82210">
        <w:rPr>
          <w:rFonts w:ascii="Times New Roman" w:hAnsi="Times New Roman" w:cs="Times New Roman"/>
          <w:sz w:val="24"/>
          <w:szCs w:val="24"/>
          <w:lang w:val="da-DK"/>
        </w:rPr>
        <w:t>være</w:t>
      </w:r>
      <w:r w:rsidR="00DC7884">
        <w:rPr>
          <w:rFonts w:ascii="Times New Roman" w:hAnsi="Times New Roman" w:cs="Times New Roman"/>
          <w:sz w:val="24"/>
          <w:szCs w:val="24"/>
          <w:lang w:val="da-DK"/>
        </w:rPr>
        <w:t xml:space="preserve"> tale om ’</w:t>
      </w:r>
      <w:r w:rsidRPr="00B82210">
        <w:rPr>
          <w:rFonts w:ascii="Times New Roman" w:hAnsi="Times New Roman" w:cs="Times New Roman"/>
          <w:sz w:val="24"/>
          <w:szCs w:val="24"/>
          <w:lang w:val="da-DK"/>
        </w:rPr>
        <w:t>nødvendig</w:t>
      </w:r>
      <w:r w:rsidR="00DC7884">
        <w:rPr>
          <w:rFonts w:ascii="Times New Roman" w:hAnsi="Times New Roman" w:cs="Times New Roman"/>
          <w:sz w:val="24"/>
          <w:szCs w:val="24"/>
          <w:lang w:val="da-DK"/>
        </w:rPr>
        <w:t xml:space="preserve">hed’ i en sådan grad, at </w:t>
      </w:r>
      <w:r w:rsidRPr="00B82210">
        <w:rPr>
          <w:rFonts w:ascii="Times New Roman" w:hAnsi="Times New Roman" w:cs="Times New Roman"/>
          <w:sz w:val="24"/>
          <w:szCs w:val="24"/>
          <w:lang w:val="da-DK"/>
        </w:rPr>
        <w:t>e</w:t>
      </w:r>
      <w:r w:rsidR="00A058A7">
        <w:rPr>
          <w:rFonts w:ascii="Times New Roman" w:hAnsi="Times New Roman" w:cs="Times New Roman"/>
          <w:sz w:val="24"/>
          <w:szCs w:val="24"/>
          <w:lang w:val="da-DK"/>
        </w:rPr>
        <w:t>n</w:t>
      </w:r>
      <w:r w:rsidRPr="00B82210">
        <w:rPr>
          <w:rFonts w:ascii="Times New Roman" w:hAnsi="Times New Roman" w:cs="Times New Roman"/>
          <w:sz w:val="24"/>
          <w:szCs w:val="24"/>
          <w:lang w:val="da-DK"/>
        </w:rPr>
        <w:t xml:space="preserve"> selvforsvar</w:t>
      </w:r>
      <w:r w:rsidR="00A058A7">
        <w:rPr>
          <w:rFonts w:ascii="Times New Roman" w:hAnsi="Times New Roman" w:cs="Times New Roman"/>
          <w:sz w:val="24"/>
          <w:szCs w:val="24"/>
          <w:lang w:val="da-DK"/>
        </w:rPr>
        <w:t>shandling</w:t>
      </w:r>
      <w:r w:rsidR="00DC7884">
        <w:rPr>
          <w:rFonts w:ascii="Times New Roman" w:hAnsi="Times New Roman" w:cs="Times New Roman"/>
          <w:sz w:val="24"/>
          <w:szCs w:val="24"/>
          <w:lang w:val="da-DK"/>
        </w:rPr>
        <w:t xml:space="preserve"> vil være lovlig</w:t>
      </w:r>
      <w:r w:rsidRPr="00B82210">
        <w:rPr>
          <w:rFonts w:ascii="Times New Roman" w:hAnsi="Times New Roman" w:cs="Times New Roman"/>
          <w:sz w:val="24"/>
          <w:szCs w:val="24"/>
          <w:lang w:val="da-DK"/>
        </w:rPr>
        <w:t xml:space="preserve">. </w:t>
      </w:r>
    </w:p>
    <w:p w:rsidR="001C217A" w:rsidRPr="00B82210" w:rsidRDefault="00A61314" w:rsidP="00C26E48">
      <w:pPr>
        <w:spacing w:before="100" w:beforeAutospacing="1" w:after="0" w:line="360" w:lineRule="auto"/>
        <w:jc w:val="both"/>
        <w:rPr>
          <w:rFonts w:ascii="Times New Roman" w:hAnsi="Times New Roman" w:cs="Times New Roman"/>
          <w:sz w:val="24"/>
          <w:szCs w:val="24"/>
          <w:lang w:val="da-DK"/>
        </w:rPr>
      </w:pPr>
      <w:r w:rsidRPr="00B82210">
        <w:rPr>
          <w:rFonts w:ascii="Times New Roman" w:hAnsi="Times New Roman" w:cs="Times New Roman"/>
          <w:sz w:val="24"/>
          <w:szCs w:val="24"/>
          <w:lang w:val="da-DK"/>
        </w:rPr>
        <w:t>Afsnit 3.2. vedrører klassificeringen af væbnede konflikter. Det noteres afslutningsvis i gennemgangen af transnationale væbnede konflikter (se s. 23), at en væbnet konflikt mellem en stat og en OVG (forbliver) en NIAC, når den væbnede gruppe ’står alene i konflikt med en eller flere stater’. Der er flere tilgange til klassificeringen af en sådan konflikt, og selvom den valgte har meget for sig</w:t>
      </w:r>
      <w:r w:rsidR="00A058A7">
        <w:rPr>
          <w:rFonts w:ascii="Times New Roman" w:hAnsi="Times New Roman" w:cs="Times New Roman"/>
          <w:sz w:val="24"/>
          <w:szCs w:val="24"/>
          <w:lang w:val="da-DK"/>
        </w:rPr>
        <w:t>,</w:t>
      </w:r>
      <w:r w:rsidRPr="00B82210">
        <w:rPr>
          <w:rFonts w:ascii="Times New Roman" w:hAnsi="Times New Roman" w:cs="Times New Roman"/>
          <w:sz w:val="24"/>
          <w:szCs w:val="24"/>
          <w:lang w:val="da-DK"/>
        </w:rPr>
        <w:t xml:space="preserve"> kunne det overvejes, om </w:t>
      </w:r>
      <w:r w:rsidR="001C217A" w:rsidRPr="00B82210">
        <w:rPr>
          <w:rFonts w:ascii="Times New Roman" w:hAnsi="Times New Roman" w:cs="Times New Roman"/>
          <w:sz w:val="24"/>
          <w:szCs w:val="24"/>
          <w:lang w:val="da-DK"/>
        </w:rPr>
        <w:t xml:space="preserve">diskussionen ikke kunne udvides, herunder om ikke </w:t>
      </w:r>
      <w:r w:rsidRPr="00B82210">
        <w:rPr>
          <w:rFonts w:ascii="Times New Roman" w:hAnsi="Times New Roman" w:cs="Times New Roman"/>
          <w:sz w:val="24"/>
          <w:szCs w:val="24"/>
          <w:lang w:val="da-DK"/>
        </w:rPr>
        <w:t xml:space="preserve">betydningen af samtykke fra en territorialstat </w:t>
      </w:r>
      <w:r w:rsidR="001C217A" w:rsidRPr="00B82210">
        <w:rPr>
          <w:rFonts w:ascii="Times New Roman" w:hAnsi="Times New Roman" w:cs="Times New Roman"/>
          <w:sz w:val="24"/>
          <w:szCs w:val="24"/>
          <w:lang w:val="da-DK"/>
        </w:rPr>
        <w:t xml:space="preserve">under visse omstændigheder </w:t>
      </w:r>
      <w:r w:rsidRPr="00B82210">
        <w:rPr>
          <w:rFonts w:ascii="Times New Roman" w:hAnsi="Times New Roman" w:cs="Times New Roman"/>
          <w:sz w:val="24"/>
          <w:szCs w:val="24"/>
          <w:lang w:val="da-DK"/>
        </w:rPr>
        <w:t xml:space="preserve">kan tænkes at </w:t>
      </w:r>
      <w:r w:rsidR="00164735">
        <w:rPr>
          <w:rFonts w:ascii="Times New Roman" w:hAnsi="Times New Roman" w:cs="Times New Roman"/>
          <w:sz w:val="24"/>
          <w:szCs w:val="24"/>
          <w:lang w:val="da-DK"/>
        </w:rPr>
        <w:t>være afgørende</w:t>
      </w:r>
      <w:r w:rsidRPr="00B82210">
        <w:rPr>
          <w:rFonts w:ascii="Times New Roman" w:hAnsi="Times New Roman" w:cs="Times New Roman"/>
          <w:sz w:val="24"/>
          <w:szCs w:val="24"/>
          <w:lang w:val="da-DK"/>
        </w:rPr>
        <w:t xml:space="preserve">. </w:t>
      </w:r>
      <w:r w:rsidR="001C217A" w:rsidRPr="00B82210">
        <w:rPr>
          <w:rFonts w:ascii="Times New Roman" w:hAnsi="Times New Roman" w:cs="Times New Roman"/>
          <w:sz w:val="24"/>
          <w:szCs w:val="24"/>
          <w:lang w:val="da-DK"/>
        </w:rPr>
        <w:t xml:space="preserve"> Klassificeringen af en ’transnational’ væbnet konflikt er af stor betydning</w:t>
      </w:r>
      <w:r w:rsidR="00164735">
        <w:rPr>
          <w:rFonts w:ascii="Times New Roman" w:hAnsi="Times New Roman" w:cs="Times New Roman"/>
          <w:sz w:val="24"/>
          <w:szCs w:val="24"/>
          <w:lang w:val="da-DK"/>
        </w:rPr>
        <w:t xml:space="preserve">, som ikke </w:t>
      </w:r>
      <w:r w:rsidR="001C217A" w:rsidRPr="00B82210">
        <w:rPr>
          <w:rFonts w:ascii="Times New Roman" w:hAnsi="Times New Roman" w:cs="Times New Roman"/>
          <w:sz w:val="24"/>
          <w:szCs w:val="24"/>
          <w:lang w:val="da-DK"/>
        </w:rPr>
        <w:t xml:space="preserve">bliver mindre af, at udvidelsen af den militære indsats mod Islamisk Stat jo netop (nu) må antages at være en del af en sådan konflikt.  </w:t>
      </w:r>
    </w:p>
    <w:p w:rsidR="00A67FB0" w:rsidRPr="00B82210" w:rsidRDefault="001C217A" w:rsidP="00C26E48">
      <w:pPr>
        <w:spacing w:before="100" w:beforeAutospacing="1" w:after="0" w:line="360" w:lineRule="auto"/>
        <w:jc w:val="both"/>
        <w:rPr>
          <w:rFonts w:ascii="Times New Roman" w:hAnsi="Times New Roman" w:cs="Times New Roman"/>
          <w:sz w:val="24"/>
          <w:szCs w:val="24"/>
          <w:lang w:val="da-DK"/>
        </w:rPr>
      </w:pPr>
      <w:r w:rsidRPr="00B82210">
        <w:rPr>
          <w:rFonts w:ascii="Times New Roman" w:hAnsi="Times New Roman" w:cs="Times New Roman"/>
          <w:sz w:val="24"/>
          <w:szCs w:val="24"/>
          <w:lang w:val="da-DK"/>
        </w:rPr>
        <w:t xml:space="preserve">Med tanke på spørgsmålets store praktiske betydning forekommer diskussionen. af, hvornår Danmark er part i en væbnet konflikt </w:t>
      </w:r>
      <w:r w:rsidR="00A058A7">
        <w:rPr>
          <w:rFonts w:ascii="Times New Roman" w:hAnsi="Times New Roman" w:cs="Times New Roman"/>
          <w:sz w:val="24"/>
          <w:szCs w:val="24"/>
          <w:lang w:val="da-DK"/>
        </w:rPr>
        <w:t xml:space="preserve">for </w:t>
      </w:r>
      <w:r w:rsidRPr="00B82210">
        <w:rPr>
          <w:rFonts w:ascii="Times New Roman" w:hAnsi="Times New Roman" w:cs="Times New Roman"/>
          <w:sz w:val="24"/>
          <w:szCs w:val="24"/>
          <w:lang w:val="da-DK"/>
        </w:rPr>
        <w:t>overfladisk</w:t>
      </w:r>
      <w:r w:rsidR="00164735">
        <w:rPr>
          <w:rFonts w:ascii="Times New Roman" w:hAnsi="Times New Roman" w:cs="Times New Roman"/>
          <w:sz w:val="24"/>
          <w:szCs w:val="24"/>
          <w:lang w:val="da-DK"/>
        </w:rPr>
        <w:t xml:space="preserve"> (</w:t>
      </w:r>
      <w:r w:rsidR="00164735" w:rsidRPr="00B82210">
        <w:rPr>
          <w:rFonts w:ascii="Times New Roman" w:hAnsi="Times New Roman" w:cs="Times New Roman"/>
          <w:sz w:val="24"/>
          <w:szCs w:val="24"/>
          <w:lang w:val="da-DK"/>
        </w:rPr>
        <w:t>afsnit 3.4.1</w:t>
      </w:r>
      <w:r w:rsidR="00164735">
        <w:rPr>
          <w:rFonts w:ascii="Times New Roman" w:hAnsi="Times New Roman" w:cs="Times New Roman"/>
          <w:sz w:val="24"/>
          <w:szCs w:val="24"/>
          <w:lang w:val="da-DK"/>
        </w:rPr>
        <w:t>)</w:t>
      </w:r>
      <w:r w:rsidR="00A058A7">
        <w:rPr>
          <w:rFonts w:ascii="Times New Roman" w:hAnsi="Times New Roman" w:cs="Times New Roman"/>
          <w:sz w:val="24"/>
          <w:szCs w:val="24"/>
          <w:lang w:val="da-DK"/>
        </w:rPr>
        <w:t xml:space="preserve">. Det samme gør sig gældende </w:t>
      </w:r>
      <w:r w:rsidR="00033DE3" w:rsidRPr="00B82210">
        <w:rPr>
          <w:rFonts w:ascii="Times New Roman" w:hAnsi="Times New Roman" w:cs="Times New Roman"/>
          <w:sz w:val="24"/>
          <w:szCs w:val="24"/>
          <w:lang w:val="da-DK"/>
        </w:rPr>
        <w:t xml:space="preserve">for så vidt angår behandlingen af den territoriale rækkevidde af en transnational væbnet konflikt i afsnit 3.5.2. </w:t>
      </w:r>
      <w:r w:rsidR="00164735">
        <w:rPr>
          <w:rFonts w:ascii="Times New Roman" w:hAnsi="Times New Roman" w:cs="Times New Roman"/>
          <w:sz w:val="24"/>
          <w:szCs w:val="24"/>
          <w:lang w:val="da-DK"/>
        </w:rPr>
        <w:t>D</w:t>
      </w:r>
      <w:r w:rsidR="00033DE3" w:rsidRPr="00B82210">
        <w:rPr>
          <w:rFonts w:ascii="Times New Roman" w:hAnsi="Times New Roman" w:cs="Times New Roman"/>
          <w:sz w:val="24"/>
          <w:szCs w:val="24"/>
          <w:lang w:val="da-DK"/>
        </w:rPr>
        <w:t xml:space="preserve">en sparsomme </w:t>
      </w:r>
      <w:r w:rsidR="00A058A7">
        <w:rPr>
          <w:rFonts w:ascii="Times New Roman" w:hAnsi="Times New Roman" w:cs="Times New Roman"/>
          <w:sz w:val="24"/>
          <w:szCs w:val="24"/>
          <w:lang w:val="da-DK"/>
        </w:rPr>
        <w:t xml:space="preserve">gennemgang </w:t>
      </w:r>
      <w:r w:rsidR="00164735">
        <w:rPr>
          <w:rFonts w:ascii="Times New Roman" w:hAnsi="Times New Roman" w:cs="Times New Roman"/>
          <w:sz w:val="24"/>
          <w:szCs w:val="24"/>
          <w:lang w:val="da-DK"/>
        </w:rPr>
        <w:t>tager eksempelvis ikke stilling til</w:t>
      </w:r>
      <w:r w:rsidR="00033DE3" w:rsidRPr="00B82210">
        <w:rPr>
          <w:rFonts w:ascii="Times New Roman" w:hAnsi="Times New Roman" w:cs="Times New Roman"/>
          <w:sz w:val="24"/>
          <w:szCs w:val="24"/>
          <w:lang w:val="da-DK"/>
        </w:rPr>
        <w:t xml:space="preserve">, hvorvidt dansk territorium er at anse som en del af den transnationale væbnede konflikt med Islamisk Stat.   </w:t>
      </w:r>
      <w:r w:rsidRPr="00B82210">
        <w:rPr>
          <w:rFonts w:ascii="Times New Roman" w:hAnsi="Times New Roman" w:cs="Times New Roman"/>
          <w:sz w:val="24"/>
          <w:szCs w:val="24"/>
          <w:lang w:val="da-DK"/>
        </w:rPr>
        <w:t xml:space="preserve"> </w:t>
      </w:r>
    </w:p>
    <w:p w:rsidR="00C26E48" w:rsidRDefault="00C26E48">
      <w:pPr>
        <w:rPr>
          <w:rFonts w:ascii="Times New Roman" w:hAnsi="Times New Roman" w:cs="Times New Roman"/>
          <w:sz w:val="24"/>
          <w:szCs w:val="24"/>
          <w:u w:val="single"/>
          <w:lang w:val="da-DK"/>
        </w:rPr>
      </w:pPr>
      <w:r>
        <w:rPr>
          <w:rFonts w:ascii="Times New Roman" w:hAnsi="Times New Roman" w:cs="Times New Roman"/>
          <w:sz w:val="24"/>
          <w:szCs w:val="24"/>
          <w:u w:val="single"/>
          <w:lang w:val="da-DK"/>
        </w:rPr>
        <w:br w:type="page"/>
      </w:r>
    </w:p>
    <w:p w:rsidR="00CB7A6A" w:rsidRPr="005B6066" w:rsidRDefault="00C26E48" w:rsidP="005B6066">
      <w:pPr>
        <w:pStyle w:val="Listeafsnit"/>
        <w:numPr>
          <w:ilvl w:val="0"/>
          <w:numId w:val="2"/>
        </w:numPr>
        <w:spacing w:before="100" w:beforeAutospacing="1" w:after="0" w:line="360" w:lineRule="auto"/>
        <w:jc w:val="both"/>
        <w:rPr>
          <w:rFonts w:ascii="Times New Roman" w:hAnsi="Times New Roman" w:cs="Times New Roman"/>
          <w:b/>
          <w:sz w:val="24"/>
          <w:szCs w:val="24"/>
          <w:lang w:val="da-DK"/>
        </w:rPr>
      </w:pPr>
      <w:r w:rsidRPr="005B6066">
        <w:rPr>
          <w:rFonts w:ascii="Times New Roman" w:hAnsi="Times New Roman" w:cs="Times New Roman"/>
          <w:b/>
          <w:sz w:val="24"/>
          <w:szCs w:val="24"/>
          <w:lang w:val="da-DK"/>
        </w:rPr>
        <w:lastRenderedPageBreak/>
        <w:t>Kommentarer til k</w:t>
      </w:r>
      <w:r w:rsidR="004A013C" w:rsidRPr="005B6066">
        <w:rPr>
          <w:rFonts w:ascii="Times New Roman" w:hAnsi="Times New Roman" w:cs="Times New Roman"/>
          <w:b/>
          <w:sz w:val="24"/>
          <w:szCs w:val="24"/>
          <w:lang w:val="da-DK"/>
        </w:rPr>
        <w:t xml:space="preserve">apitel 12 </w:t>
      </w:r>
      <w:r w:rsidRPr="005B6066">
        <w:rPr>
          <w:rFonts w:ascii="Times New Roman" w:hAnsi="Times New Roman" w:cs="Times New Roman"/>
          <w:b/>
          <w:sz w:val="24"/>
          <w:szCs w:val="24"/>
          <w:lang w:val="da-DK"/>
        </w:rPr>
        <w:t>’</w:t>
      </w:r>
      <w:r w:rsidR="00CB7A6A" w:rsidRPr="005B6066">
        <w:rPr>
          <w:rFonts w:ascii="Times New Roman" w:hAnsi="Times New Roman" w:cs="Times New Roman"/>
          <w:b/>
          <w:sz w:val="24"/>
          <w:szCs w:val="24"/>
          <w:lang w:val="da-DK"/>
        </w:rPr>
        <w:t>Frihedsberøvede i danske styrkers varetægt</w:t>
      </w:r>
      <w:r w:rsidRPr="005B6066">
        <w:rPr>
          <w:rFonts w:ascii="Times New Roman" w:hAnsi="Times New Roman" w:cs="Times New Roman"/>
          <w:b/>
          <w:sz w:val="24"/>
          <w:szCs w:val="24"/>
          <w:lang w:val="da-DK"/>
        </w:rPr>
        <w:t>’</w:t>
      </w:r>
      <w:r w:rsidR="00CB7A6A" w:rsidRPr="005B6066">
        <w:rPr>
          <w:rFonts w:ascii="Times New Roman" w:hAnsi="Times New Roman" w:cs="Times New Roman"/>
          <w:b/>
          <w:sz w:val="24"/>
          <w:szCs w:val="24"/>
          <w:lang w:val="da-DK"/>
        </w:rPr>
        <w:t xml:space="preserve"> </w:t>
      </w:r>
    </w:p>
    <w:p w:rsidR="00A058A7" w:rsidRDefault="00CB7A6A" w:rsidP="00C26E48">
      <w:pPr>
        <w:spacing w:before="100" w:beforeAutospacing="1" w:after="0" w:line="360" w:lineRule="auto"/>
        <w:jc w:val="both"/>
        <w:rPr>
          <w:rFonts w:ascii="Times New Roman" w:hAnsi="Times New Roman" w:cs="Times New Roman"/>
          <w:sz w:val="24"/>
          <w:szCs w:val="24"/>
          <w:lang w:val="da-DK"/>
        </w:rPr>
      </w:pPr>
      <w:r w:rsidRPr="00B82210">
        <w:rPr>
          <w:rFonts w:ascii="Times New Roman" w:hAnsi="Times New Roman" w:cs="Times New Roman"/>
          <w:sz w:val="24"/>
          <w:szCs w:val="24"/>
          <w:lang w:val="da-DK"/>
        </w:rPr>
        <w:t xml:space="preserve">Det bemærkes </w:t>
      </w:r>
      <w:r w:rsidR="00A800AA" w:rsidRPr="00B82210">
        <w:rPr>
          <w:rFonts w:ascii="Times New Roman" w:hAnsi="Times New Roman" w:cs="Times New Roman"/>
          <w:sz w:val="24"/>
          <w:szCs w:val="24"/>
          <w:lang w:val="da-DK"/>
        </w:rPr>
        <w:t xml:space="preserve">på s. 386 </w:t>
      </w:r>
      <w:r w:rsidRPr="00B82210">
        <w:rPr>
          <w:rFonts w:ascii="Times New Roman" w:hAnsi="Times New Roman" w:cs="Times New Roman"/>
          <w:sz w:val="24"/>
          <w:szCs w:val="24"/>
          <w:lang w:val="da-DK"/>
        </w:rPr>
        <w:t xml:space="preserve">i afsnit 2.4., at </w:t>
      </w:r>
      <w:r w:rsidR="00164735" w:rsidRPr="00B82210">
        <w:rPr>
          <w:rFonts w:ascii="Times New Roman" w:hAnsi="Times New Roman" w:cs="Times New Roman"/>
          <w:sz w:val="24"/>
          <w:szCs w:val="24"/>
          <w:lang w:val="da-DK"/>
        </w:rPr>
        <w:t xml:space="preserve">danske </w:t>
      </w:r>
      <w:proofErr w:type="gramStart"/>
      <w:r w:rsidR="00164735" w:rsidRPr="00B82210">
        <w:rPr>
          <w:rFonts w:ascii="Times New Roman" w:hAnsi="Times New Roman" w:cs="Times New Roman"/>
          <w:sz w:val="24"/>
          <w:szCs w:val="24"/>
          <w:lang w:val="da-DK"/>
        </w:rPr>
        <w:t>enheder</w:t>
      </w:r>
      <w:r w:rsidR="00164735">
        <w:rPr>
          <w:rFonts w:ascii="Times New Roman" w:hAnsi="Times New Roman" w:cs="Times New Roman"/>
          <w:sz w:val="24"/>
          <w:szCs w:val="24"/>
          <w:lang w:val="da-DK"/>
        </w:rPr>
        <w:t xml:space="preserve">, </w:t>
      </w:r>
      <w:r w:rsidRPr="00B82210">
        <w:rPr>
          <w:rFonts w:ascii="Times New Roman" w:hAnsi="Times New Roman" w:cs="Times New Roman"/>
          <w:sz w:val="24"/>
          <w:szCs w:val="24"/>
          <w:lang w:val="da-DK"/>
        </w:rPr>
        <w:t xml:space="preserve"> </w:t>
      </w:r>
      <w:r w:rsidR="00164735">
        <w:rPr>
          <w:rFonts w:ascii="Times New Roman" w:hAnsi="Times New Roman" w:cs="Times New Roman"/>
          <w:sz w:val="24"/>
          <w:szCs w:val="24"/>
          <w:lang w:val="da-DK"/>
        </w:rPr>
        <w:t>’</w:t>
      </w:r>
      <w:r w:rsidR="00164735" w:rsidRPr="00B82210">
        <w:rPr>
          <w:rFonts w:ascii="Times New Roman" w:hAnsi="Times New Roman" w:cs="Times New Roman"/>
          <w:sz w:val="24"/>
          <w:szCs w:val="24"/>
          <w:lang w:val="da-DK"/>
        </w:rPr>
        <w:t>overordnet</w:t>
      </w:r>
      <w:proofErr w:type="gramEnd"/>
      <w:r w:rsidR="00164735">
        <w:rPr>
          <w:rFonts w:ascii="Times New Roman" w:hAnsi="Times New Roman" w:cs="Times New Roman"/>
          <w:sz w:val="24"/>
          <w:szCs w:val="24"/>
          <w:lang w:val="da-DK"/>
        </w:rPr>
        <w:t xml:space="preserve">’ </w:t>
      </w:r>
      <w:r w:rsidRPr="00B82210">
        <w:rPr>
          <w:rFonts w:ascii="Times New Roman" w:hAnsi="Times New Roman" w:cs="Times New Roman"/>
          <w:sz w:val="24"/>
          <w:szCs w:val="24"/>
          <w:lang w:val="da-DK"/>
        </w:rPr>
        <w:t>ikke har et ansvar for frihedsberøvelser</w:t>
      </w:r>
      <w:r w:rsidR="00164735">
        <w:rPr>
          <w:rFonts w:ascii="Times New Roman" w:hAnsi="Times New Roman" w:cs="Times New Roman"/>
          <w:sz w:val="24"/>
          <w:szCs w:val="24"/>
          <w:lang w:val="da-DK"/>
        </w:rPr>
        <w:t xml:space="preserve"> foretaget af deres </w:t>
      </w:r>
      <w:r w:rsidR="00A800AA" w:rsidRPr="00B82210">
        <w:rPr>
          <w:rFonts w:ascii="Times New Roman" w:hAnsi="Times New Roman" w:cs="Times New Roman"/>
          <w:sz w:val="24"/>
          <w:szCs w:val="24"/>
          <w:lang w:val="da-DK"/>
        </w:rPr>
        <w:t xml:space="preserve">udenlandske </w:t>
      </w:r>
      <w:r w:rsidR="00164735">
        <w:rPr>
          <w:rFonts w:ascii="Times New Roman" w:hAnsi="Times New Roman" w:cs="Times New Roman"/>
          <w:sz w:val="24"/>
          <w:szCs w:val="24"/>
          <w:lang w:val="da-DK"/>
        </w:rPr>
        <w:t>samarbejdspartnere</w:t>
      </w:r>
      <w:r w:rsidR="00A800AA" w:rsidRPr="00B82210">
        <w:rPr>
          <w:rFonts w:ascii="Times New Roman" w:hAnsi="Times New Roman" w:cs="Times New Roman"/>
          <w:sz w:val="24"/>
          <w:szCs w:val="24"/>
          <w:lang w:val="da-DK"/>
        </w:rPr>
        <w:t xml:space="preserve">. </w:t>
      </w:r>
      <w:r w:rsidR="00A058A7">
        <w:rPr>
          <w:rFonts w:ascii="Times New Roman" w:hAnsi="Times New Roman" w:cs="Times New Roman"/>
          <w:sz w:val="24"/>
          <w:szCs w:val="24"/>
          <w:lang w:val="da-DK"/>
        </w:rPr>
        <w:t xml:space="preserve">Der savnes her </w:t>
      </w:r>
      <w:r w:rsidR="00A800AA" w:rsidRPr="00B82210">
        <w:rPr>
          <w:rFonts w:ascii="Times New Roman" w:hAnsi="Times New Roman" w:cs="Times New Roman"/>
          <w:sz w:val="24"/>
          <w:szCs w:val="24"/>
          <w:lang w:val="da-DK"/>
        </w:rPr>
        <w:t>en diskussion af den Internationale Lovkommissions Retningslinjer om statsansvar, herunder i særdeleshed retningslinjernes kapitel 4 vedrørende ’</w:t>
      </w:r>
      <w:proofErr w:type="spellStart"/>
      <w:r w:rsidR="00A800AA" w:rsidRPr="00B82210">
        <w:rPr>
          <w:rFonts w:ascii="Times New Roman" w:hAnsi="Times New Roman" w:cs="Times New Roman"/>
          <w:sz w:val="24"/>
          <w:szCs w:val="24"/>
          <w:lang w:val="da-DK"/>
        </w:rPr>
        <w:t>medvirkensansvar</w:t>
      </w:r>
      <w:proofErr w:type="spellEnd"/>
      <w:r w:rsidR="00A800AA" w:rsidRPr="00B82210">
        <w:rPr>
          <w:rFonts w:ascii="Times New Roman" w:hAnsi="Times New Roman" w:cs="Times New Roman"/>
          <w:sz w:val="24"/>
          <w:szCs w:val="24"/>
          <w:lang w:val="da-DK"/>
        </w:rPr>
        <w:t>’</w:t>
      </w:r>
      <w:r w:rsidR="00164735">
        <w:rPr>
          <w:rFonts w:ascii="Times New Roman" w:hAnsi="Times New Roman" w:cs="Times New Roman"/>
          <w:sz w:val="24"/>
          <w:szCs w:val="24"/>
          <w:lang w:val="da-DK"/>
        </w:rPr>
        <w:t>. Heraf</w:t>
      </w:r>
      <w:r w:rsidR="00A800AA" w:rsidRPr="00B82210">
        <w:rPr>
          <w:rFonts w:ascii="Times New Roman" w:hAnsi="Times New Roman" w:cs="Times New Roman"/>
          <w:sz w:val="24"/>
          <w:szCs w:val="24"/>
          <w:lang w:val="da-DK"/>
        </w:rPr>
        <w:t xml:space="preserve"> fremgår</w:t>
      </w:r>
      <w:r w:rsidR="00164735">
        <w:rPr>
          <w:rFonts w:ascii="Times New Roman" w:hAnsi="Times New Roman" w:cs="Times New Roman"/>
          <w:sz w:val="24"/>
          <w:szCs w:val="24"/>
          <w:lang w:val="da-DK"/>
        </w:rPr>
        <w:t>,</w:t>
      </w:r>
      <w:r w:rsidR="00A800AA" w:rsidRPr="00B82210">
        <w:rPr>
          <w:rFonts w:ascii="Times New Roman" w:hAnsi="Times New Roman" w:cs="Times New Roman"/>
          <w:sz w:val="24"/>
          <w:szCs w:val="24"/>
          <w:lang w:val="da-DK"/>
        </w:rPr>
        <w:t xml:space="preserve"> at en stat under visse omstændigheder kan ’dele’ ansvaret med en anden stat. </w:t>
      </w:r>
      <w:r w:rsidR="00A058A7">
        <w:rPr>
          <w:rFonts w:ascii="Times New Roman" w:hAnsi="Times New Roman" w:cs="Times New Roman"/>
          <w:sz w:val="24"/>
          <w:szCs w:val="24"/>
          <w:lang w:val="da-DK"/>
        </w:rPr>
        <w:t>Den manglende behandling er påfaldende i b</w:t>
      </w:r>
      <w:r w:rsidR="00A800AA" w:rsidRPr="00B82210">
        <w:rPr>
          <w:rFonts w:ascii="Times New Roman" w:hAnsi="Times New Roman" w:cs="Times New Roman"/>
          <w:sz w:val="24"/>
          <w:szCs w:val="24"/>
          <w:lang w:val="da-DK"/>
        </w:rPr>
        <w:t>etragtning af den store opmærksomhed, der har omgærdet den danske politik for ansvar, herunder ’brite-finter’ og lignende</w:t>
      </w:r>
      <w:r w:rsidR="00A058A7">
        <w:rPr>
          <w:rFonts w:ascii="Times New Roman" w:hAnsi="Times New Roman" w:cs="Times New Roman"/>
          <w:sz w:val="24"/>
          <w:szCs w:val="24"/>
          <w:lang w:val="da-DK"/>
        </w:rPr>
        <w:t>, i operationerne i Afghanistan og Irak</w:t>
      </w:r>
      <w:r w:rsidR="00A800AA" w:rsidRPr="00B82210">
        <w:rPr>
          <w:rFonts w:ascii="Times New Roman" w:hAnsi="Times New Roman" w:cs="Times New Roman"/>
          <w:sz w:val="24"/>
          <w:szCs w:val="24"/>
          <w:lang w:val="da-DK"/>
        </w:rPr>
        <w:t xml:space="preserve">. </w:t>
      </w:r>
    </w:p>
    <w:p w:rsidR="00CB7A6A" w:rsidRPr="00B82210" w:rsidRDefault="00424BFF" w:rsidP="00C26E48">
      <w:pPr>
        <w:spacing w:before="100" w:beforeAutospacing="1" w:after="0" w:line="360" w:lineRule="auto"/>
        <w:jc w:val="both"/>
        <w:rPr>
          <w:rFonts w:ascii="Times New Roman" w:hAnsi="Times New Roman" w:cs="Times New Roman"/>
          <w:sz w:val="24"/>
          <w:szCs w:val="24"/>
          <w:lang w:val="da-DK"/>
        </w:rPr>
      </w:pPr>
      <w:r w:rsidRPr="00B82210">
        <w:rPr>
          <w:rFonts w:ascii="Times New Roman" w:hAnsi="Times New Roman" w:cs="Times New Roman"/>
          <w:sz w:val="24"/>
          <w:szCs w:val="24"/>
          <w:lang w:val="da-DK"/>
        </w:rPr>
        <w:t xml:space="preserve">Spørgsmålet </w:t>
      </w:r>
      <w:r w:rsidR="00A058A7">
        <w:rPr>
          <w:rFonts w:ascii="Times New Roman" w:hAnsi="Times New Roman" w:cs="Times New Roman"/>
          <w:sz w:val="24"/>
          <w:szCs w:val="24"/>
          <w:lang w:val="da-DK"/>
        </w:rPr>
        <w:t xml:space="preserve">om ansvar for fælles operationer </w:t>
      </w:r>
      <w:r w:rsidRPr="00B82210">
        <w:rPr>
          <w:rFonts w:ascii="Times New Roman" w:hAnsi="Times New Roman" w:cs="Times New Roman"/>
          <w:sz w:val="24"/>
          <w:szCs w:val="24"/>
          <w:lang w:val="da-DK"/>
        </w:rPr>
        <w:t xml:space="preserve">behandles </w:t>
      </w:r>
      <w:r w:rsidR="00164735">
        <w:rPr>
          <w:rFonts w:ascii="Times New Roman" w:hAnsi="Times New Roman" w:cs="Times New Roman"/>
          <w:sz w:val="24"/>
          <w:szCs w:val="24"/>
          <w:lang w:val="da-DK"/>
        </w:rPr>
        <w:t>overfladisk</w:t>
      </w:r>
      <w:r w:rsidR="00164735" w:rsidRPr="00B82210">
        <w:rPr>
          <w:rFonts w:ascii="Times New Roman" w:hAnsi="Times New Roman" w:cs="Times New Roman"/>
          <w:sz w:val="24"/>
          <w:szCs w:val="24"/>
          <w:lang w:val="da-DK"/>
        </w:rPr>
        <w:t xml:space="preserve"> </w:t>
      </w:r>
      <w:r w:rsidRPr="00B82210">
        <w:rPr>
          <w:rFonts w:ascii="Times New Roman" w:hAnsi="Times New Roman" w:cs="Times New Roman"/>
          <w:sz w:val="24"/>
          <w:szCs w:val="24"/>
          <w:lang w:val="da-DK"/>
        </w:rPr>
        <w:t xml:space="preserve">i kapitel 15 (afsnit 4.5.1., s. 557f), men også her savnes der en mere dybdegående analyse af </w:t>
      </w:r>
      <w:proofErr w:type="spellStart"/>
      <w:r w:rsidRPr="00B82210">
        <w:rPr>
          <w:rFonts w:ascii="Times New Roman" w:hAnsi="Times New Roman" w:cs="Times New Roman"/>
          <w:sz w:val="24"/>
          <w:szCs w:val="24"/>
          <w:lang w:val="da-DK"/>
        </w:rPr>
        <w:t>medvirkensansvar</w:t>
      </w:r>
      <w:proofErr w:type="spellEnd"/>
      <w:r w:rsidRPr="00B82210">
        <w:rPr>
          <w:rFonts w:ascii="Times New Roman" w:hAnsi="Times New Roman" w:cs="Times New Roman"/>
          <w:sz w:val="24"/>
          <w:szCs w:val="24"/>
          <w:lang w:val="da-DK"/>
        </w:rPr>
        <w:t xml:space="preserve">. </w:t>
      </w:r>
    </w:p>
    <w:p w:rsidR="004A013C" w:rsidRPr="00B82210" w:rsidRDefault="004A013C" w:rsidP="00C26E48">
      <w:pPr>
        <w:spacing w:before="100" w:beforeAutospacing="1" w:after="0" w:line="360" w:lineRule="auto"/>
        <w:jc w:val="both"/>
        <w:rPr>
          <w:rFonts w:ascii="Times New Roman" w:hAnsi="Times New Roman" w:cs="Times New Roman"/>
          <w:sz w:val="24"/>
          <w:szCs w:val="24"/>
          <w:lang w:val="da-DK"/>
        </w:rPr>
      </w:pPr>
      <w:r w:rsidRPr="00B82210">
        <w:rPr>
          <w:rFonts w:ascii="Times New Roman" w:hAnsi="Times New Roman" w:cs="Times New Roman"/>
          <w:sz w:val="24"/>
          <w:szCs w:val="24"/>
          <w:lang w:val="da-DK"/>
        </w:rPr>
        <w:t xml:space="preserve">Det antages i </w:t>
      </w:r>
      <w:r w:rsidR="00A800AA" w:rsidRPr="00B82210">
        <w:rPr>
          <w:rFonts w:ascii="Times New Roman" w:hAnsi="Times New Roman" w:cs="Times New Roman"/>
          <w:sz w:val="24"/>
          <w:szCs w:val="24"/>
          <w:lang w:val="da-DK"/>
        </w:rPr>
        <w:t>behandlingen af sikkerhedsinternering</w:t>
      </w:r>
      <w:r w:rsidR="00194192" w:rsidRPr="00B82210">
        <w:rPr>
          <w:rFonts w:ascii="Times New Roman" w:hAnsi="Times New Roman" w:cs="Times New Roman"/>
          <w:sz w:val="24"/>
          <w:szCs w:val="24"/>
          <w:lang w:val="da-DK"/>
        </w:rPr>
        <w:t xml:space="preserve"> i afsnit 5.2.1.2.</w:t>
      </w:r>
      <w:r w:rsidR="00257263" w:rsidRPr="00B82210">
        <w:rPr>
          <w:rFonts w:ascii="Times New Roman" w:hAnsi="Times New Roman" w:cs="Times New Roman"/>
          <w:sz w:val="24"/>
          <w:szCs w:val="24"/>
          <w:lang w:val="da-DK"/>
        </w:rPr>
        <w:t xml:space="preserve">, at dette også er en mulighed </w:t>
      </w:r>
      <w:r w:rsidRPr="00B82210">
        <w:rPr>
          <w:rFonts w:ascii="Times New Roman" w:hAnsi="Times New Roman" w:cs="Times New Roman"/>
          <w:sz w:val="24"/>
          <w:szCs w:val="24"/>
          <w:lang w:val="da-DK"/>
        </w:rPr>
        <w:t xml:space="preserve">under en NIAC, idet dette er forudsat i TP II art. 5 og også har grundlag i folkeretlig sædvane (s. 413). </w:t>
      </w:r>
      <w:r w:rsidR="00194192" w:rsidRPr="00B82210">
        <w:rPr>
          <w:rFonts w:ascii="Times New Roman" w:hAnsi="Times New Roman" w:cs="Times New Roman"/>
          <w:sz w:val="24"/>
          <w:szCs w:val="24"/>
          <w:lang w:val="da-DK"/>
        </w:rPr>
        <w:t>Der synes at være gode grunde til at opretholde en sådan konklusion</w:t>
      </w:r>
      <w:r w:rsidR="00164735">
        <w:rPr>
          <w:rFonts w:ascii="Times New Roman" w:hAnsi="Times New Roman" w:cs="Times New Roman"/>
          <w:sz w:val="24"/>
          <w:szCs w:val="24"/>
          <w:lang w:val="da-DK"/>
        </w:rPr>
        <w:t>,</w:t>
      </w:r>
      <w:r w:rsidR="00194192" w:rsidRPr="00B82210">
        <w:rPr>
          <w:rFonts w:ascii="Times New Roman" w:hAnsi="Times New Roman" w:cs="Times New Roman"/>
          <w:sz w:val="24"/>
          <w:szCs w:val="24"/>
          <w:lang w:val="da-DK"/>
        </w:rPr>
        <w:t xml:space="preserve"> selvom det dog også må bemærkes – som det gøres på s. 413, note 94 – at </w:t>
      </w:r>
      <w:r w:rsidRPr="00B82210">
        <w:rPr>
          <w:rFonts w:ascii="Times New Roman" w:hAnsi="Times New Roman" w:cs="Times New Roman"/>
          <w:sz w:val="24"/>
          <w:szCs w:val="24"/>
          <w:lang w:val="da-DK"/>
        </w:rPr>
        <w:t xml:space="preserve">EMD i </w:t>
      </w:r>
      <w:r w:rsidRPr="00B82210">
        <w:rPr>
          <w:rFonts w:ascii="Times New Roman" w:hAnsi="Times New Roman" w:cs="Times New Roman"/>
          <w:i/>
          <w:sz w:val="24"/>
          <w:szCs w:val="24"/>
          <w:lang w:val="da-DK"/>
        </w:rPr>
        <w:t xml:space="preserve">Hassan v. UK </w:t>
      </w:r>
      <w:r w:rsidRPr="00B82210">
        <w:rPr>
          <w:rFonts w:ascii="Times New Roman" w:hAnsi="Times New Roman" w:cs="Times New Roman"/>
          <w:sz w:val="24"/>
          <w:szCs w:val="24"/>
          <w:lang w:val="da-DK"/>
        </w:rPr>
        <w:t xml:space="preserve">(2014) </w:t>
      </w:r>
      <w:r w:rsidR="00194192" w:rsidRPr="00B82210">
        <w:rPr>
          <w:rFonts w:ascii="Times New Roman" w:hAnsi="Times New Roman" w:cs="Times New Roman"/>
          <w:sz w:val="24"/>
          <w:szCs w:val="24"/>
          <w:lang w:val="da-DK"/>
        </w:rPr>
        <w:t>(</w:t>
      </w:r>
      <w:r w:rsidRPr="00B82210">
        <w:rPr>
          <w:rFonts w:ascii="Times New Roman" w:hAnsi="Times New Roman" w:cs="Times New Roman"/>
          <w:sz w:val="24"/>
          <w:szCs w:val="24"/>
          <w:lang w:val="da-DK"/>
        </w:rPr>
        <w:t>der vedrørte internering under IAC</w:t>
      </w:r>
      <w:r w:rsidR="00194192" w:rsidRPr="00B82210">
        <w:rPr>
          <w:rFonts w:ascii="Times New Roman" w:hAnsi="Times New Roman" w:cs="Times New Roman"/>
          <w:sz w:val="24"/>
          <w:szCs w:val="24"/>
          <w:lang w:val="da-DK"/>
        </w:rPr>
        <w:t>)</w:t>
      </w:r>
      <w:r w:rsidR="00257263" w:rsidRPr="00B82210">
        <w:rPr>
          <w:rFonts w:ascii="Times New Roman" w:hAnsi="Times New Roman" w:cs="Times New Roman"/>
          <w:sz w:val="24"/>
          <w:szCs w:val="24"/>
          <w:lang w:val="da-DK"/>
        </w:rPr>
        <w:t xml:space="preserve"> s</w:t>
      </w:r>
      <w:r w:rsidRPr="00B82210">
        <w:rPr>
          <w:rFonts w:ascii="Times New Roman" w:hAnsi="Times New Roman" w:cs="Times New Roman"/>
          <w:sz w:val="24"/>
          <w:szCs w:val="24"/>
          <w:lang w:val="da-DK"/>
        </w:rPr>
        <w:t xml:space="preserve">ynes at </w:t>
      </w:r>
      <w:r w:rsidR="00194192" w:rsidRPr="00B82210">
        <w:rPr>
          <w:rFonts w:ascii="Times New Roman" w:hAnsi="Times New Roman" w:cs="Times New Roman"/>
          <w:sz w:val="24"/>
          <w:szCs w:val="24"/>
          <w:lang w:val="da-DK"/>
        </w:rPr>
        <w:t xml:space="preserve">komme til det modsatte resultat. </w:t>
      </w:r>
    </w:p>
    <w:p w:rsidR="004A013C" w:rsidRPr="00B82210" w:rsidRDefault="00B82210" w:rsidP="00C26E48">
      <w:pPr>
        <w:spacing w:before="100" w:beforeAutospacing="1" w:after="0" w:line="360" w:lineRule="auto"/>
        <w:jc w:val="both"/>
        <w:rPr>
          <w:rFonts w:ascii="Times New Roman" w:hAnsi="Times New Roman" w:cs="Times New Roman"/>
          <w:sz w:val="24"/>
          <w:szCs w:val="24"/>
          <w:lang w:val="da-DK"/>
        </w:rPr>
      </w:pPr>
      <w:r w:rsidRPr="00B82210">
        <w:rPr>
          <w:rFonts w:ascii="Times New Roman" w:hAnsi="Times New Roman" w:cs="Times New Roman"/>
          <w:sz w:val="24"/>
          <w:szCs w:val="24"/>
          <w:lang w:val="da-DK"/>
        </w:rPr>
        <w:t xml:space="preserve">Afsnit </w:t>
      </w:r>
      <w:r w:rsidR="004A013C" w:rsidRPr="00B82210">
        <w:rPr>
          <w:rFonts w:ascii="Times New Roman" w:hAnsi="Times New Roman" w:cs="Times New Roman"/>
          <w:sz w:val="24"/>
          <w:szCs w:val="24"/>
          <w:lang w:val="da-DK"/>
        </w:rPr>
        <w:t>5.2.1.1.</w:t>
      </w:r>
      <w:r w:rsidRPr="00B82210">
        <w:rPr>
          <w:rFonts w:ascii="Times New Roman" w:hAnsi="Times New Roman" w:cs="Times New Roman"/>
          <w:sz w:val="24"/>
          <w:szCs w:val="24"/>
          <w:lang w:val="da-DK"/>
        </w:rPr>
        <w:t xml:space="preserve"> og</w:t>
      </w:r>
      <w:r w:rsidR="004A013C" w:rsidRPr="00B82210">
        <w:rPr>
          <w:rFonts w:ascii="Times New Roman" w:hAnsi="Times New Roman" w:cs="Times New Roman"/>
          <w:sz w:val="24"/>
          <w:szCs w:val="24"/>
          <w:lang w:val="da-DK"/>
        </w:rPr>
        <w:t xml:space="preserve"> </w:t>
      </w:r>
      <w:r w:rsidRPr="00B82210">
        <w:rPr>
          <w:rFonts w:ascii="Times New Roman" w:hAnsi="Times New Roman" w:cs="Times New Roman"/>
          <w:sz w:val="24"/>
          <w:szCs w:val="24"/>
          <w:lang w:val="da-DK"/>
        </w:rPr>
        <w:t xml:space="preserve">afsnit </w:t>
      </w:r>
      <w:r w:rsidR="004A013C" w:rsidRPr="00B82210">
        <w:rPr>
          <w:rFonts w:ascii="Times New Roman" w:hAnsi="Times New Roman" w:cs="Times New Roman"/>
          <w:sz w:val="24"/>
          <w:szCs w:val="24"/>
          <w:lang w:val="da-DK"/>
        </w:rPr>
        <w:t>5.2.1.2.</w:t>
      </w:r>
      <w:r w:rsidRPr="00B82210">
        <w:rPr>
          <w:rFonts w:ascii="Times New Roman" w:hAnsi="Times New Roman" w:cs="Times New Roman"/>
          <w:sz w:val="24"/>
          <w:szCs w:val="24"/>
          <w:lang w:val="da-DK"/>
        </w:rPr>
        <w:t xml:space="preserve"> vedrører </w:t>
      </w:r>
      <w:r w:rsidR="004A013C" w:rsidRPr="00B82210">
        <w:rPr>
          <w:rFonts w:ascii="Times New Roman" w:hAnsi="Times New Roman" w:cs="Times New Roman"/>
          <w:sz w:val="24"/>
          <w:szCs w:val="24"/>
          <w:lang w:val="da-DK"/>
        </w:rPr>
        <w:t>prøvelse af Sikkerhedsinternering under IAC og NIAC</w:t>
      </w:r>
      <w:r w:rsidRPr="00B82210">
        <w:rPr>
          <w:rFonts w:ascii="Times New Roman" w:hAnsi="Times New Roman" w:cs="Times New Roman"/>
          <w:sz w:val="24"/>
          <w:szCs w:val="24"/>
          <w:lang w:val="da-DK"/>
        </w:rPr>
        <w:t xml:space="preserve">. Beskrivelsen af retsgarantierne ved </w:t>
      </w:r>
      <w:r w:rsidR="004A013C" w:rsidRPr="00B82210">
        <w:rPr>
          <w:rFonts w:ascii="Times New Roman" w:hAnsi="Times New Roman" w:cs="Times New Roman"/>
          <w:sz w:val="24"/>
          <w:szCs w:val="24"/>
          <w:lang w:val="da-DK"/>
        </w:rPr>
        <w:t xml:space="preserve">sikkerhedsinternering under især NIAC </w:t>
      </w:r>
      <w:r w:rsidRPr="00B82210">
        <w:rPr>
          <w:rFonts w:ascii="Times New Roman" w:hAnsi="Times New Roman" w:cs="Times New Roman"/>
          <w:sz w:val="24"/>
          <w:szCs w:val="24"/>
          <w:lang w:val="da-DK"/>
        </w:rPr>
        <w:t xml:space="preserve">savner </w:t>
      </w:r>
      <w:r w:rsidR="004A013C" w:rsidRPr="00B82210">
        <w:rPr>
          <w:rFonts w:ascii="Times New Roman" w:hAnsi="Times New Roman" w:cs="Times New Roman"/>
          <w:sz w:val="24"/>
          <w:szCs w:val="24"/>
          <w:lang w:val="da-DK"/>
        </w:rPr>
        <w:t>præcis</w:t>
      </w:r>
      <w:r w:rsidRPr="00B82210">
        <w:rPr>
          <w:rFonts w:ascii="Times New Roman" w:hAnsi="Times New Roman" w:cs="Times New Roman"/>
          <w:sz w:val="24"/>
          <w:szCs w:val="24"/>
          <w:lang w:val="da-DK"/>
        </w:rPr>
        <w:t xml:space="preserve">ion og bør </w:t>
      </w:r>
      <w:r w:rsidR="004A013C" w:rsidRPr="00B82210">
        <w:rPr>
          <w:rFonts w:ascii="Times New Roman" w:hAnsi="Times New Roman" w:cs="Times New Roman"/>
          <w:sz w:val="24"/>
          <w:szCs w:val="24"/>
          <w:lang w:val="da-DK"/>
        </w:rPr>
        <w:t>skærpes.</w:t>
      </w:r>
      <w:r w:rsidRPr="00B82210">
        <w:rPr>
          <w:rFonts w:ascii="Times New Roman" w:hAnsi="Times New Roman" w:cs="Times New Roman"/>
          <w:sz w:val="24"/>
          <w:szCs w:val="24"/>
          <w:lang w:val="da-DK"/>
        </w:rPr>
        <w:t xml:space="preserve"> Det anføres i forhold til p</w:t>
      </w:r>
      <w:r w:rsidR="004A013C" w:rsidRPr="00B82210">
        <w:rPr>
          <w:rFonts w:ascii="Times New Roman" w:hAnsi="Times New Roman" w:cs="Times New Roman"/>
          <w:sz w:val="24"/>
          <w:szCs w:val="24"/>
          <w:lang w:val="da-DK"/>
        </w:rPr>
        <w:t xml:space="preserve">røvelse af sikkerhedsinternering under en IAC </w:t>
      </w:r>
      <w:r w:rsidRPr="00B82210">
        <w:rPr>
          <w:rFonts w:ascii="Times New Roman" w:hAnsi="Times New Roman" w:cs="Times New Roman"/>
          <w:sz w:val="24"/>
          <w:szCs w:val="24"/>
          <w:lang w:val="da-DK"/>
        </w:rPr>
        <w:t xml:space="preserve">med henvisning </w:t>
      </w:r>
      <w:r w:rsidR="004A013C" w:rsidRPr="00B82210">
        <w:rPr>
          <w:rFonts w:ascii="Times New Roman" w:hAnsi="Times New Roman" w:cs="Times New Roman"/>
          <w:sz w:val="24"/>
          <w:szCs w:val="24"/>
          <w:lang w:val="da-DK"/>
        </w:rPr>
        <w:t xml:space="preserve">til </w:t>
      </w:r>
      <w:r w:rsidR="004A013C" w:rsidRPr="00B82210">
        <w:rPr>
          <w:rFonts w:ascii="Times New Roman" w:hAnsi="Times New Roman" w:cs="Times New Roman"/>
          <w:i/>
          <w:sz w:val="24"/>
          <w:szCs w:val="24"/>
          <w:lang w:val="da-DK"/>
        </w:rPr>
        <w:t>Hassan v. UK</w:t>
      </w:r>
      <w:r w:rsidR="004A013C" w:rsidRPr="00B82210">
        <w:rPr>
          <w:rFonts w:ascii="Times New Roman" w:hAnsi="Times New Roman" w:cs="Times New Roman"/>
          <w:sz w:val="24"/>
          <w:szCs w:val="24"/>
          <w:lang w:val="da-DK"/>
        </w:rPr>
        <w:t xml:space="preserve"> (2014), at det ”kompetente organ” skal være tilstrækkeligt upartisk og have procedurer, der er tilstrækkelige til at sikre, at afgørelsen ikke er arbitrær (s. 411). Der peges på ønskeligheden af et kollektivt organ</w:t>
      </w:r>
      <w:r w:rsidRPr="00B82210">
        <w:rPr>
          <w:rFonts w:ascii="Times New Roman" w:hAnsi="Times New Roman" w:cs="Times New Roman"/>
          <w:sz w:val="24"/>
          <w:szCs w:val="24"/>
          <w:lang w:val="da-DK"/>
        </w:rPr>
        <w:t>,</w:t>
      </w:r>
      <w:r w:rsidR="004A013C" w:rsidRPr="00B82210">
        <w:rPr>
          <w:rFonts w:ascii="Times New Roman" w:hAnsi="Times New Roman" w:cs="Times New Roman"/>
          <w:sz w:val="24"/>
          <w:szCs w:val="24"/>
          <w:lang w:val="da-DK"/>
        </w:rPr>
        <w:t xml:space="preserve"> og at det er almindeligt, at behandlingen foretages af en egnet militær chef rådgivet af en efterretningsofficer og en militær juridisk rådgiver (s. 411f.). Derimod </w:t>
      </w:r>
      <w:r w:rsidRPr="00B82210">
        <w:rPr>
          <w:rFonts w:ascii="Times New Roman" w:hAnsi="Times New Roman" w:cs="Times New Roman"/>
          <w:sz w:val="24"/>
          <w:szCs w:val="24"/>
          <w:lang w:val="da-DK"/>
        </w:rPr>
        <w:t>nævnes der</w:t>
      </w:r>
      <w:r w:rsidR="004A013C" w:rsidRPr="00B82210">
        <w:rPr>
          <w:rFonts w:ascii="Times New Roman" w:hAnsi="Times New Roman" w:cs="Times New Roman"/>
          <w:sz w:val="24"/>
          <w:szCs w:val="24"/>
          <w:lang w:val="da-DK"/>
        </w:rPr>
        <w:t xml:space="preserve"> intet om kravene til processen.</w:t>
      </w:r>
    </w:p>
    <w:p w:rsidR="004A013C" w:rsidRPr="00B82210" w:rsidRDefault="004A013C" w:rsidP="00C26E48">
      <w:pPr>
        <w:spacing w:before="100" w:beforeAutospacing="1" w:after="0" w:line="360" w:lineRule="auto"/>
        <w:jc w:val="both"/>
        <w:rPr>
          <w:rFonts w:ascii="Times New Roman" w:hAnsi="Times New Roman" w:cs="Times New Roman"/>
          <w:sz w:val="24"/>
          <w:szCs w:val="24"/>
          <w:lang w:val="da-DK"/>
        </w:rPr>
      </w:pPr>
      <w:r w:rsidRPr="00B82210">
        <w:rPr>
          <w:rFonts w:ascii="Times New Roman" w:hAnsi="Times New Roman" w:cs="Times New Roman"/>
          <w:sz w:val="24"/>
          <w:szCs w:val="24"/>
          <w:lang w:val="da-DK"/>
        </w:rPr>
        <w:t>Vedrørende prøvelse af sikkerhedsinternring under en NIAC er udkastets bemærkninger endnu mere vage. Det gælder både med hensyn til karakteren af det organ, som skal forestå prøvelsen, og den procedure, som skal følges (</w:t>
      </w:r>
      <w:r w:rsidR="00632506">
        <w:rPr>
          <w:rFonts w:ascii="Times New Roman" w:hAnsi="Times New Roman" w:cs="Times New Roman"/>
          <w:sz w:val="24"/>
          <w:szCs w:val="24"/>
          <w:lang w:val="da-DK"/>
        </w:rPr>
        <w:t xml:space="preserve">kursiveringerne </w:t>
      </w:r>
      <w:r w:rsidRPr="00B82210">
        <w:rPr>
          <w:rFonts w:ascii="Times New Roman" w:hAnsi="Times New Roman" w:cs="Times New Roman"/>
          <w:sz w:val="24"/>
          <w:szCs w:val="24"/>
          <w:lang w:val="da-DK"/>
        </w:rPr>
        <w:t xml:space="preserve">i det følgende er vores). Det anføres med henvisning til GK IV artikel 78, at ”Den sikkerhedsinternerede har krav på at </w:t>
      </w:r>
      <w:r w:rsidRPr="00B82210">
        <w:rPr>
          <w:rFonts w:ascii="Times New Roman" w:hAnsi="Times New Roman" w:cs="Times New Roman"/>
          <w:i/>
          <w:sz w:val="24"/>
          <w:szCs w:val="24"/>
          <w:lang w:val="da-DK"/>
        </w:rPr>
        <w:t>få prøvet</w:t>
      </w:r>
      <w:r w:rsidRPr="00B82210">
        <w:rPr>
          <w:rFonts w:ascii="Times New Roman" w:hAnsi="Times New Roman" w:cs="Times New Roman"/>
          <w:sz w:val="24"/>
          <w:szCs w:val="24"/>
          <w:lang w:val="da-DK"/>
        </w:rPr>
        <w:t xml:space="preserve"> beslutningen om sikkerhedsinternering”, samt ved opretholdt internering har krav på fornyet prøvelse ”med regelmæssige mellemrum, om muligt hver sjette måned” (s. 414). Det anføres også, at </w:t>
      </w:r>
      <w:r w:rsidRPr="00B82210">
        <w:rPr>
          <w:rFonts w:ascii="Times New Roman" w:hAnsi="Times New Roman" w:cs="Times New Roman"/>
          <w:sz w:val="24"/>
          <w:szCs w:val="24"/>
          <w:lang w:val="da-DK"/>
        </w:rPr>
        <w:lastRenderedPageBreak/>
        <w:t>sikkerhedsinternering sker ”</w:t>
      </w:r>
      <w:r w:rsidRPr="00B82210">
        <w:rPr>
          <w:rFonts w:ascii="Times New Roman" w:hAnsi="Times New Roman" w:cs="Times New Roman"/>
          <w:i/>
          <w:sz w:val="24"/>
          <w:szCs w:val="24"/>
          <w:lang w:val="da-DK"/>
        </w:rPr>
        <w:t>uden</w:t>
      </w:r>
      <w:r w:rsidRPr="00B82210">
        <w:rPr>
          <w:rFonts w:ascii="Times New Roman" w:hAnsi="Times New Roman" w:cs="Times New Roman"/>
          <w:sz w:val="24"/>
          <w:szCs w:val="24"/>
          <w:lang w:val="da-DK"/>
        </w:rPr>
        <w:t xml:space="preserve"> mulighed for prøvelse ved en </w:t>
      </w:r>
      <w:r w:rsidRPr="00B82210">
        <w:rPr>
          <w:rFonts w:ascii="Times New Roman" w:hAnsi="Times New Roman" w:cs="Times New Roman"/>
          <w:i/>
          <w:sz w:val="24"/>
          <w:szCs w:val="24"/>
          <w:lang w:val="da-DK"/>
        </w:rPr>
        <w:t>egentlig domstol</w:t>
      </w:r>
      <w:r w:rsidRPr="00B82210">
        <w:rPr>
          <w:rFonts w:ascii="Times New Roman" w:hAnsi="Times New Roman" w:cs="Times New Roman"/>
          <w:sz w:val="24"/>
          <w:szCs w:val="24"/>
          <w:lang w:val="da-DK"/>
        </w:rPr>
        <w:t>” (s. 415). Som minimum kunne man forvente en henvisning til, hvad der tidligere er anført om prøvelse af sikkerhedsinterneringer under en IAC.</w:t>
      </w:r>
    </w:p>
    <w:p w:rsidR="004A013C" w:rsidRPr="00B82210" w:rsidRDefault="004A013C" w:rsidP="00C26E48">
      <w:pPr>
        <w:spacing w:before="100" w:beforeAutospacing="1" w:after="0" w:line="360" w:lineRule="auto"/>
        <w:jc w:val="both"/>
        <w:rPr>
          <w:rFonts w:ascii="Times New Roman" w:hAnsi="Times New Roman" w:cs="Times New Roman"/>
          <w:sz w:val="24"/>
          <w:szCs w:val="24"/>
          <w:lang w:val="da-DK"/>
        </w:rPr>
      </w:pPr>
      <w:r w:rsidRPr="00B82210">
        <w:rPr>
          <w:rFonts w:ascii="Times New Roman" w:hAnsi="Times New Roman" w:cs="Times New Roman"/>
          <w:sz w:val="24"/>
          <w:szCs w:val="24"/>
          <w:lang w:val="da-DK"/>
        </w:rPr>
        <w:t>Hvad angår krav til prøvelsens indhold og procedure anføres i udkastet vedrørende sikkerhedsinternring under en NIAC, at der ”</w:t>
      </w:r>
      <w:r w:rsidRPr="00B82210">
        <w:rPr>
          <w:rFonts w:ascii="Times New Roman" w:hAnsi="Times New Roman" w:cs="Times New Roman"/>
          <w:i/>
          <w:sz w:val="24"/>
          <w:szCs w:val="24"/>
          <w:lang w:val="da-DK"/>
        </w:rPr>
        <w:t>om muligt</w:t>
      </w:r>
      <w:r w:rsidRPr="00B82210">
        <w:rPr>
          <w:rFonts w:ascii="Times New Roman" w:hAnsi="Times New Roman" w:cs="Times New Roman"/>
          <w:sz w:val="24"/>
          <w:szCs w:val="24"/>
          <w:lang w:val="da-DK"/>
        </w:rPr>
        <w:t xml:space="preserve"> [kan] tillægges en ekstra beskyttelse med inspiration fra menneskeretten” (s. 414). Som eksempler på en sådan mulig ekstra beskyttelse nævnes (s. 415):</w:t>
      </w:r>
    </w:p>
    <w:p w:rsidR="004A013C" w:rsidRPr="00B82210" w:rsidRDefault="004A013C" w:rsidP="00C26E48">
      <w:pPr>
        <w:pStyle w:val="Default"/>
        <w:spacing w:before="100" w:beforeAutospacing="1" w:line="360" w:lineRule="auto"/>
        <w:ind w:left="567"/>
        <w:jc w:val="both"/>
        <w:rPr>
          <w:rFonts w:ascii="Times New Roman" w:hAnsi="Times New Roman" w:cs="Times New Roman"/>
        </w:rPr>
      </w:pPr>
      <w:r w:rsidRPr="00B82210">
        <w:rPr>
          <w:rFonts w:ascii="Times New Roman" w:hAnsi="Times New Roman" w:cs="Times New Roman"/>
        </w:rPr>
        <w:t xml:space="preserve">”1) En interneret gøres bekendt med </w:t>
      </w:r>
      <w:r w:rsidRPr="00B82210">
        <w:rPr>
          <w:rFonts w:ascii="Times New Roman" w:hAnsi="Times New Roman" w:cs="Times New Roman"/>
          <w:i/>
        </w:rPr>
        <w:t>grunden til frihedsberøvelsen</w:t>
      </w:r>
      <w:r w:rsidRPr="00B82210">
        <w:rPr>
          <w:rFonts w:ascii="Times New Roman" w:hAnsi="Times New Roman" w:cs="Times New Roman"/>
        </w:rPr>
        <w:t xml:space="preserve"> på et sprog, denne forstår. </w:t>
      </w:r>
      <w:r w:rsidRPr="00B82210">
        <w:rPr>
          <w:rFonts w:ascii="Times New Roman" w:hAnsi="Times New Roman" w:cs="Times New Roman"/>
          <w:i/>
        </w:rPr>
        <w:t>Det kan alene være, at denne vurderes at udgøre en kvalificeret sikkerhedsrisiko</w:t>
      </w:r>
      <w:r w:rsidRPr="00B82210">
        <w:rPr>
          <w:rFonts w:ascii="Times New Roman" w:hAnsi="Times New Roman" w:cs="Times New Roman"/>
        </w:rPr>
        <w:t xml:space="preserve">. </w:t>
      </w:r>
    </w:p>
    <w:p w:rsidR="004A013C" w:rsidRPr="00B82210" w:rsidRDefault="004A013C" w:rsidP="00C26E48">
      <w:pPr>
        <w:pStyle w:val="Default"/>
        <w:spacing w:before="100" w:beforeAutospacing="1" w:line="360" w:lineRule="auto"/>
        <w:ind w:left="567"/>
        <w:jc w:val="both"/>
        <w:rPr>
          <w:rFonts w:ascii="Times New Roman" w:hAnsi="Times New Roman" w:cs="Times New Roman"/>
        </w:rPr>
      </w:pPr>
      <w:r w:rsidRPr="00B82210">
        <w:rPr>
          <w:rFonts w:ascii="Times New Roman" w:hAnsi="Times New Roman" w:cs="Times New Roman"/>
        </w:rPr>
        <w:t xml:space="preserve">2) En interneret gøres bekendt med </w:t>
      </w:r>
      <w:r w:rsidRPr="00B82210">
        <w:rPr>
          <w:rFonts w:ascii="Times New Roman" w:hAnsi="Times New Roman" w:cs="Times New Roman"/>
          <w:i/>
        </w:rPr>
        <w:t>grundlaget for vurderingen, hvor dette er muligt under hensyn til klassifikation af materialet</w:t>
      </w:r>
      <w:r w:rsidRPr="00B82210">
        <w:rPr>
          <w:rFonts w:ascii="Times New Roman" w:hAnsi="Times New Roman" w:cs="Times New Roman"/>
        </w:rPr>
        <w:t xml:space="preserve">. </w:t>
      </w:r>
    </w:p>
    <w:p w:rsidR="004A013C" w:rsidRPr="00B82210" w:rsidRDefault="004A013C" w:rsidP="00C26E48">
      <w:pPr>
        <w:pStyle w:val="Default"/>
        <w:spacing w:before="100" w:beforeAutospacing="1" w:line="360" w:lineRule="auto"/>
        <w:ind w:left="567"/>
        <w:jc w:val="both"/>
        <w:rPr>
          <w:rFonts w:ascii="Times New Roman" w:hAnsi="Times New Roman" w:cs="Times New Roman"/>
        </w:rPr>
      </w:pPr>
      <w:r w:rsidRPr="00B82210">
        <w:rPr>
          <w:rFonts w:ascii="Times New Roman" w:hAnsi="Times New Roman" w:cs="Times New Roman"/>
        </w:rPr>
        <w:t xml:space="preserve">3) En interneret får mulighed for at blive repræsenteret af advokat eller lignende. </w:t>
      </w:r>
    </w:p>
    <w:p w:rsidR="004A013C" w:rsidRPr="00B82210" w:rsidRDefault="004A013C" w:rsidP="00C26E48">
      <w:pPr>
        <w:pStyle w:val="Default"/>
        <w:spacing w:before="100" w:beforeAutospacing="1" w:line="360" w:lineRule="auto"/>
        <w:ind w:left="567"/>
        <w:jc w:val="both"/>
        <w:rPr>
          <w:rFonts w:ascii="Times New Roman" w:hAnsi="Times New Roman" w:cs="Times New Roman"/>
        </w:rPr>
      </w:pPr>
      <w:r w:rsidRPr="00B82210">
        <w:rPr>
          <w:rFonts w:ascii="Times New Roman" w:hAnsi="Times New Roman" w:cs="Times New Roman"/>
        </w:rPr>
        <w:t xml:space="preserve">4) En interneret får mulighed for at føre vidner.” </w:t>
      </w:r>
    </w:p>
    <w:p w:rsidR="00B82210" w:rsidRDefault="004A013C" w:rsidP="00C26E48">
      <w:pPr>
        <w:pStyle w:val="Default"/>
        <w:spacing w:before="100" w:beforeAutospacing="1" w:line="360" w:lineRule="auto"/>
        <w:jc w:val="both"/>
        <w:rPr>
          <w:rFonts w:ascii="Times New Roman" w:hAnsi="Times New Roman" w:cs="Times New Roman"/>
        </w:rPr>
      </w:pPr>
      <w:r w:rsidRPr="00B82210">
        <w:rPr>
          <w:rFonts w:ascii="Times New Roman" w:hAnsi="Times New Roman" w:cs="Times New Roman"/>
        </w:rPr>
        <w:t xml:space="preserve">Kravet efter </w:t>
      </w:r>
      <w:r w:rsidR="00A058A7">
        <w:rPr>
          <w:rFonts w:ascii="Times New Roman" w:hAnsi="Times New Roman" w:cs="Times New Roman"/>
        </w:rPr>
        <w:t xml:space="preserve">den humanitære folkeret </w:t>
      </w:r>
      <w:r w:rsidRPr="00B82210">
        <w:rPr>
          <w:rFonts w:ascii="Times New Roman" w:hAnsi="Times New Roman" w:cs="Times New Roman"/>
        </w:rPr>
        <w:t>er ved sikkerhedsinternering i IAC, at interneringen snarest muligt skal efterprøves ved et ”</w:t>
      </w:r>
      <w:proofErr w:type="spellStart"/>
      <w:r w:rsidRPr="00B82210">
        <w:rPr>
          <w:rFonts w:ascii="Times New Roman" w:hAnsi="Times New Roman" w:cs="Times New Roman"/>
        </w:rPr>
        <w:t>competent</w:t>
      </w:r>
      <w:proofErr w:type="spellEnd"/>
      <w:r w:rsidRPr="00B82210">
        <w:rPr>
          <w:rFonts w:ascii="Times New Roman" w:hAnsi="Times New Roman" w:cs="Times New Roman"/>
        </w:rPr>
        <w:t xml:space="preserve"> </w:t>
      </w:r>
      <w:proofErr w:type="spellStart"/>
      <w:r w:rsidRPr="00B82210">
        <w:rPr>
          <w:rFonts w:ascii="Times New Roman" w:hAnsi="Times New Roman" w:cs="Times New Roman"/>
        </w:rPr>
        <w:t>body</w:t>
      </w:r>
      <w:proofErr w:type="spellEnd"/>
      <w:r w:rsidRPr="00B82210">
        <w:rPr>
          <w:rFonts w:ascii="Times New Roman" w:hAnsi="Times New Roman" w:cs="Times New Roman"/>
        </w:rPr>
        <w:t xml:space="preserve">”, herunder vedfortsat internering med jævne mellemrum, om muligt hver sjette måned, jf. GK IV artikel 78 (samt artikel 43). Denne retsgaranti er ikke særligt præcis, hverken med hensyn til organet og slet ikke </w:t>
      </w:r>
      <w:r w:rsidR="00A058A7">
        <w:rPr>
          <w:rFonts w:ascii="Times New Roman" w:hAnsi="Times New Roman" w:cs="Times New Roman"/>
        </w:rPr>
        <w:t xml:space="preserve">i forhold til </w:t>
      </w:r>
      <w:r w:rsidRPr="00B82210">
        <w:rPr>
          <w:rFonts w:ascii="Times New Roman" w:hAnsi="Times New Roman" w:cs="Times New Roman"/>
        </w:rPr>
        <w:t xml:space="preserve">processuelle garantier. Derfor får menneskeretten særlig betydning her. </w:t>
      </w:r>
    </w:p>
    <w:p w:rsidR="00A058A7" w:rsidRDefault="004A013C" w:rsidP="00C26E48">
      <w:pPr>
        <w:pStyle w:val="Default"/>
        <w:spacing w:before="100" w:beforeAutospacing="1" w:line="360" w:lineRule="auto"/>
        <w:jc w:val="both"/>
        <w:rPr>
          <w:rFonts w:ascii="Times New Roman" w:hAnsi="Times New Roman" w:cs="Times New Roman"/>
        </w:rPr>
      </w:pPr>
      <w:r w:rsidRPr="00B82210">
        <w:rPr>
          <w:rFonts w:ascii="Times New Roman" w:hAnsi="Times New Roman" w:cs="Times New Roman"/>
        </w:rPr>
        <w:t xml:space="preserve">Det generelle krav efter menneskeretten er, at en frihedsberøvet skal underrettes om </w:t>
      </w:r>
      <w:r w:rsidR="00B82210" w:rsidRPr="00B82210">
        <w:rPr>
          <w:rFonts w:ascii="Times New Roman" w:hAnsi="Times New Roman" w:cs="Times New Roman"/>
        </w:rPr>
        <w:t xml:space="preserve">årsagen til </w:t>
      </w:r>
      <w:r w:rsidRPr="00B82210">
        <w:rPr>
          <w:rFonts w:ascii="Times New Roman" w:hAnsi="Times New Roman" w:cs="Times New Roman"/>
        </w:rPr>
        <w:t>frihedsberøve</w:t>
      </w:r>
      <w:r w:rsidR="00B82210" w:rsidRPr="00B82210">
        <w:rPr>
          <w:rFonts w:ascii="Times New Roman" w:hAnsi="Times New Roman" w:cs="Times New Roman"/>
        </w:rPr>
        <w:t>lse</w:t>
      </w:r>
      <w:r w:rsidRPr="00B82210">
        <w:rPr>
          <w:rFonts w:ascii="Times New Roman" w:hAnsi="Times New Roman" w:cs="Times New Roman"/>
        </w:rPr>
        <w:t xml:space="preserve">, samt have adgang til at indbringe sagen for en domstol, som hurtigt/uden ophold skal tage stilling til frihedsberøvelsens lovlighed, jf. EMRK artikel 5(2) og 5(4), samt ICCPR artikel 9(2) og (4). </w:t>
      </w:r>
    </w:p>
    <w:p w:rsidR="00A058A7" w:rsidRDefault="004A013C" w:rsidP="00C26E48">
      <w:pPr>
        <w:pStyle w:val="Default"/>
        <w:spacing w:before="100" w:beforeAutospacing="1" w:line="360" w:lineRule="auto"/>
        <w:jc w:val="both"/>
        <w:rPr>
          <w:rFonts w:ascii="Times New Roman" w:hAnsi="Times New Roman" w:cs="Times New Roman"/>
        </w:rPr>
      </w:pPr>
      <w:r w:rsidRPr="00B82210">
        <w:rPr>
          <w:rFonts w:ascii="Times New Roman" w:hAnsi="Times New Roman" w:cs="Times New Roman"/>
        </w:rPr>
        <w:t xml:space="preserve">Spørgsmålet er </w:t>
      </w:r>
      <w:r w:rsidR="00B82210" w:rsidRPr="00B82210">
        <w:rPr>
          <w:rFonts w:ascii="Times New Roman" w:hAnsi="Times New Roman" w:cs="Times New Roman"/>
        </w:rPr>
        <w:t>naturligvis</w:t>
      </w:r>
      <w:r w:rsidRPr="00B82210">
        <w:rPr>
          <w:rFonts w:ascii="Times New Roman" w:hAnsi="Times New Roman" w:cs="Times New Roman"/>
        </w:rPr>
        <w:t xml:space="preserve">, i hvilket omfang denne standard kan opretholdes under en væbnet konflikt. </w:t>
      </w:r>
    </w:p>
    <w:p w:rsidR="004A013C" w:rsidRPr="00632506" w:rsidRDefault="004A013C" w:rsidP="00C26E48">
      <w:pPr>
        <w:pStyle w:val="Default"/>
        <w:spacing w:before="100" w:beforeAutospacing="1" w:line="360" w:lineRule="auto"/>
        <w:jc w:val="both"/>
        <w:rPr>
          <w:rFonts w:ascii="Times New Roman" w:hAnsi="Times New Roman" w:cs="Times New Roman"/>
        </w:rPr>
      </w:pPr>
      <w:r w:rsidRPr="00B82210">
        <w:rPr>
          <w:rFonts w:ascii="Times New Roman" w:hAnsi="Times New Roman" w:cs="Times New Roman"/>
        </w:rPr>
        <w:t xml:space="preserve">I </w:t>
      </w:r>
      <w:r w:rsidRPr="00B82210">
        <w:rPr>
          <w:rFonts w:ascii="Times New Roman" w:hAnsi="Times New Roman" w:cs="Times New Roman"/>
          <w:i/>
        </w:rPr>
        <w:t>Hassan v. UK</w:t>
      </w:r>
      <w:r w:rsidRPr="00B82210">
        <w:rPr>
          <w:rFonts w:ascii="Times New Roman" w:hAnsi="Times New Roman" w:cs="Times New Roman"/>
        </w:rPr>
        <w:t xml:space="preserve"> (2014) udtalte EMD sig som bekendt om dette i en sag vedrørende internering under en IAC (</w:t>
      </w:r>
      <w:r w:rsidR="00632506">
        <w:rPr>
          <w:rFonts w:ascii="Times New Roman" w:hAnsi="Times New Roman" w:cs="Times New Roman"/>
        </w:rPr>
        <w:t>§</w:t>
      </w:r>
      <w:r w:rsidRPr="00B82210">
        <w:rPr>
          <w:rFonts w:ascii="Times New Roman" w:hAnsi="Times New Roman" w:cs="Times New Roman"/>
        </w:rPr>
        <w:t xml:space="preserve"> </w:t>
      </w:r>
      <w:r w:rsidRPr="00632506">
        <w:rPr>
          <w:rFonts w:ascii="Times New Roman" w:hAnsi="Times New Roman" w:cs="Times New Roman"/>
        </w:rPr>
        <w:t>106, vore</w:t>
      </w:r>
      <w:r w:rsidR="00632506" w:rsidRPr="00632506">
        <w:rPr>
          <w:rFonts w:ascii="Times New Roman" w:hAnsi="Times New Roman" w:cs="Times New Roman"/>
        </w:rPr>
        <w:t>s</w:t>
      </w:r>
      <w:r w:rsidRPr="00632506">
        <w:rPr>
          <w:rFonts w:ascii="Times New Roman" w:hAnsi="Times New Roman" w:cs="Times New Roman"/>
        </w:rPr>
        <w:t xml:space="preserve"> </w:t>
      </w:r>
      <w:r w:rsidR="00632506">
        <w:rPr>
          <w:rFonts w:ascii="Times New Roman" w:hAnsi="Times New Roman" w:cs="Times New Roman"/>
        </w:rPr>
        <w:t>kursivering</w:t>
      </w:r>
      <w:r w:rsidRPr="00632506">
        <w:rPr>
          <w:rFonts w:ascii="Times New Roman" w:hAnsi="Times New Roman" w:cs="Times New Roman"/>
        </w:rPr>
        <w:t xml:space="preserve">er): </w:t>
      </w:r>
    </w:p>
    <w:p w:rsidR="004A013C" w:rsidRPr="00C423C9" w:rsidRDefault="004A013C" w:rsidP="00C26E48">
      <w:pPr>
        <w:pStyle w:val="Default"/>
        <w:spacing w:before="100" w:beforeAutospacing="1" w:line="360" w:lineRule="auto"/>
        <w:ind w:left="567"/>
        <w:jc w:val="both"/>
        <w:rPr>
          <w:rFonts w:ascii="Times New Roman" w:hAnsi="Times New Roman" w:cs="Times New Roman"/>
          <w:sz w:val="22"/>
          <w:szCs w:val="22"/>
          <w:lang w:val="en-GB" w:eastAsia="fr-FR"/>
        </w:rPr>
      </w:pPr>
      <w:r w:rsidRPr="00C423C9">
        <w:rPr>
          <w:rFonts w:ascii="Times New Roman" w:hAnsi="Times New Roman" w:cs="Times New Roman"/>
          <w:sz w:val="22"/>
          <w:szCs w:val="22"/>
          <w:lang w:val="en-GB" w:eastAsia="fr-FR"/>
        </w:rPr>
        <w:lastRenderedPageBreak/>
        <w:t xml:space="preserve">“As regards procedural safeguards, the Court considers that, in relation to detention taking place during an international armed conflict, Article 5 §§ 2 and 4 must also be interpreted in a manner which takes into account the context and the applicable rules of international humanitarian law. Articles 43 and 78 of the Fourth Geneva Convention provide that internment “shall be subject to periodical review, if possible every six months, by a competent body”. </w:t>
      </w:r>
      <w:r w:rsidRPr="00C423C9">
        <w:rPr>
          <w:rFonts w:ascii="Times New Roman" w:hAnsi="Times New Roman" w:cs="Times New Roman"/>
          <w:i/>
          <w:sz w:val="22"/>
          <w:szCs w:val="22"/>
          <w:lang w:val="en-GB" w:eastAsia="fr-FR"/>
        </w:rPr>
        <w:t xml:space="preserve">Whilst it might not be practicable, in the course of an international armed conflict, for the legality of detention to be determined by an independent “court” in the sense generally required by Article 5 § 4 </w:t>
      </w:r>
      <w:r w:rsidRPr="00C423C9">
        <w:rPr>
          <w:rFonts w:ascii="Times New Roman" w:hAnsi="Times New Roman" w:cs="Times New Roman"/>
          <w:sz w:val="22"/>
          <w:szCs w:val="22"/>
          <w:lang w:val="en-GB" w:eastAsia="fr-FR"/>
        </w:rPr>
        <w:t xml:space="preserve">… </w:t>
      </w:r>
      <w:r w:rsidRPr="00C423C9">
        <w:rPr>
          <w:rFonts w:ascii="Times New Roman" w:hAnsi="Times New Roman" w:cs="Times New Roman"/>
          <w:i/>
          <w:sz w:val="22"/>
          <w:szCs w:val="22"/>
          <w:lang w:val="en-GB" w:eastAsia="fr-FR"/>
        </w:rPr>
        <w:t>nonetheless, if the Contracting State is to comply with its obligations under Article 5 § 4 in this context, the “competent body” should provide sufficient guarantees of impartiality and fair procedure to protect against arbitrariness</w:t>
      </w:r>
      <w:r w:rsidRPr="00C423C9">
        <w:rPr>
          <w:rFonts w:ascii="Times New Roman" w:hAnsi="Times New Roman" w:cs="Times New Roman"/>
          <w:sz w:val="22"/>
          <w:szCs w:val="22"/>
          <w:lang w:val="en-GB" w:eastAsia="fr-FR"/>
        </w:rPr>
        <w:t>. Moreover, the first review should take place shortly after the person is taken into detention, with subsequent reviews at frequent intervals, to ensure that any person who does not fall into one of the categories subject to internment under international humanitarian law is released without undue delay.”</w:t>
      </w:r>
    </w:p>
    <w:p w:rsidR="004A013C" w:rsidRPr="00B82210" w:rsidRDefault="004A013C" w:rsidP="00C26E48">
      <w:pPr>
        <w:pStyle w:val="Default"/>
        <w:spacing w:before="100" w:beforeAutospacing="1" w:line="360" w:lineRule="auto"/>
        <w:jc w:val="both"/>
        <w:rPr>
          <w:rFonts w:ascii="Times New Roman" w:hAnsi="Times New Roman" w:cs="Times New Roman"/>
          <w:lang w:eastAsia="fr-FR"/>
        </w:rPr>
      </w:pPr>
      <w:proofErr w:type="spellStart"/>
      <w:r w:rsidRPr="00B82210">
        <w:rPr>
          <w:rFonts w:ascii="Times New Roman" w:hAnsi="Times New Roman" w:cs="Times New Roman"/>
          <w:lang w:eastAsia="fr-FR"/>
        </w:rPr>
        <w:t>EMDs</w:t>
      </w:r>
      <w:proofErr w:type="spellEnd"/>
      <w:r w:rsidRPr="00B82210">
        <w:rPr>
          <w:rFonts w:ascii="Times New Roman" w:hAnsi="Times New Roman" w:cs="Times New Roman"/>
          <w:lang w:eastAsia="fr-FR"/>
        </w:rPr>
        <w:t xml:space="preserve"> udtalelse må overordnet forstås således, at der i tilfælde af sikkerhedsinternering under en væbnet skal finde en prøvelse sted, som retssikkerhedsmæssigt er den bedst mulige under de foreliggende forhold og omstændigheder. Dette er også velbegrundet, når man tænker på, at sikkerhedsinternering er en frihedsberøvelse uden dom, som potentielt kan vare i årevis (til den væbnede konflikts ophør). Det er derfor afgørende vigtigt at undgå vilkårlig/uberettiget sikkerhedsinternering. </w:t>
      </w:r>
    </w:p>
    <w:p w:rsidR="004A013C" w:rsidRPr="00B82210" w:rsidRDefault="004A013C" w:rsidP="00C26E48">
      <w:pPr>
        <w:pStyle w:val="Default"/>
        <w:spacing w:before="100" w:beforeAutospacing="1" w:line="360" w:lineRule="auto"/>
        <w:jc w:val="both"/>
        <w:rPr>
          <w:rFonts w:ascii="Times New Roman" w:hAnsi="Times New Roman" w:cs="Times New Roman"/>
          <w:lang w:eastAsia="fr-FR"/>
        </w:rPr>
      </w:pPr>
      <w:r w:rsidRPr="00B82210">
        <w:rPr>
          <w:rFonts w:ascii="Times New Roman" w:hAnsi="Times New Roman" w:cs="Times New Roman"/>
          <w:lang w:eastAsia="fr-FR"/>
        </w:rPr>
        <w:t>Til det ”</w:t>
      </w:r>
      <w:proofErr w:type="spellStart"/>
      <w:r w:rsidRPr="00B82210">
        <w:rPr>
          <w:rFonts w:ascii="Times New Roman" w:hAnsi="Times New Roman" w:cs="Times New Roman"/>
          <w:lang w:eastAsia="fr-FR"/>
        </w:rPr>
        <w:t>competent</w:t>
      </w:r>
      <w:proofErr w:type="spellEnd"/>
      <w:r w:rsidRPr="00B82210">
        <w:rPr>
          <w:rFonts w:ascii="Times New Roman" w:hAnsi="Times New Roman" w:cs="Times New Roman"/>
          <w:lang w:eastAsia="fr-FR"/>
        </w:rPr>
        <w:t xml:space="preserve"> </w:t>
      </w:r>
      <w:proofErr w:type="spellStart"/>
      <w:r w:rsidRPr="00B82210">
        <w:rPr>
          <w:rFonts w:ascii="Times New Roman" w:hAnsi="Times New Roman" w:cs="Times New Roman"/>
          <w:lang w:eastAsia="fr-FR"/>
        </w:rPr>
        <w:t>body</w:t>
      </w:r>
      <w:proofErr w:type="spellEnd"/>
      <w:r w:rsidRPr="00B82210">
        <w:rPr>
          <w:rFonts w:ascii="Times New Roman" w:hAnsi="Times New Roman" w:cs="Times New Roman"/>
          <w:lang w:eastAsia="fr-FR"/>
        </w:rPr>
        <w:t xml:space="preserve">”, som skal prøve sikkerhedsinterneringen, stiller EMD således et krav om ”sufficient </w:t>
      </w:r>
      <w:proofErr w:type="spellStart"/>
      <w:r w:rsidRPr="00B82210">
        <w:rPr>
          <w:rFonts w:ascii="Times New Roman" w:hAnsi="Times New Roman" w:cs="Times New Roman"/>
          <w:lang w:eastAsia="fr-FR"/>
        </w:rPr>
        <w:t>guarantees</w:t>
      </w:r>
      <w:proofErr w:type="spellEnd"/>
      <w:r w:rsidRPr="00B82210">
        <w:rPr>
          <w:rFonts w:ascii="Times New Roman" w:hAnsi="Times New Roman" w:cs="Times New Roman"/>
          <w:lang w:eastAsia="fr-FR"/>
        </w:rPr>
        <w:t xml:space="preserve"> of </w:t>
      </w:r>
      <w:proofErr w:type="spellStart"/>
      <w:r w:rsidRPr="00B82210">
        <w:rPr>
          <w:rFonts w:ascii="Times New Roman" w:hAnsi="Times New Roman" w:cs="Times New Roman"/>
          <w:lang w:eastAsia="fr-FR"/>
        </w:rPr>
        <w:t>impartiality</w:t>
      </w:r>
      <w:proofErr w:type="spellEnd"/>
      <w:r w:rsidR="00632506">
        <w:rPr>
          <w:rFonts w:ascii="Times New Roman" w:hAnsi="Times New Roman" w:cs="Times New Roman"/>
          <w:lang w:eastAsia="fr-FR"/>
        </w:rPr>
        <w:t xml:space="preserve"> </w:t>
      </w:r>
      <w:r w:rsidRPr="00B82210">
        <w:rPr>
          <w:rFonts w:ascii="Times New Roman" w:hAnsi="Times New Roman" w:cs="Times New Roman"/>
          <w:lang w:eastAsia="fr-FR"/>
        </w:rPr>
        <w:t>…</w:t>
      </w:r>
      <w:r w:rsidR="00632506">
        <w:rPr>
          <w:rFonts w:ascii="Times New Roman" w:hAnsi="Times New Roman" w:cs="Times New Roman"/>
          <w:lang w:eastAsia="fr-FR"/>
        </w:rPr>
        <w:t xml:space="preserve"> </w:t>
      </w:r>
      <w:r w:rsidRPr="00B82210">
        <w:rPr>
          <w:rFonts w:ascii="Times New Roman" w:hAnsi="Times New Roman" w:cs="Times New Roman"/>
          <w:lang w:eastAsia="fr-FR"/>
        </w:rPr>
        <w:t xml:space="preserve">to </w:t>
      </w:r>
      <w:proofErr w:type="spellStart"/>
      <w:r w:rsidRPr="00B82210">
        <w:rPr>
          <w:rFonts w:ascii="Times New Roman" w:hAnsi="Times New Roman" w:cs="Times New Roman"/>
          <w:lang w:eastAsia="fr-FR"/>
        </w:rPr>
        <w:t>protect</w:t>
      </w:r>
      <w:proofErr w:type="spellEnd"/>
      <w:r w:rsidRPr="00B82210">
        <w:rPr>
          <w:rFonts w:ascii="Times New Roman" w:hAnsi="Times New Roman" w:cs="Times New Roman"/>
          <w:lang w:eastAsia="fr-FR"/>
        </w:rPr>
        <w:t xml:space="preserve"> </w:t>
      </w:r>
      <w:proofErr w:type="spellStart"/>
      <w:r w:rsidRPr="00B82210">
        <w:rPr>
          <w:rFonts w:ascii="Times New Roman" w:hAnsi="Times New Roman" w:cs="Times New Roman"/>
          <w:lang w:eastAsia="fr-FR"/>
        </w:rPr>
        <w:t>against</w:t>
      </w:r>
      <w:proofErr w:type="spellEnd"/>
      <w:r w:rsidRPr="00B82210">
        <w:rPr>
          <w:rFonts w:ascii="Times New Roman" w:hAnsi="Times New Roman" w:cs="Times New Roman"/>
          <w:lang w:eastAsia="fr-FR"/>
        </w:rPr>
        <w:t xml:space="preserve"> </w:t>
      </w:r>
      <w:proofErr w:type="spellStart"/>
      <w:r w:rsidRPr="00B82210">
        <w:rPr>
          <w:rFonts w:ascii="Times New Roman" w:hAnsi="Times New Roman" w:cs="Times New Roman"/>
          <w:lang w:eastAsia="fr-FR"/>
        </w:rPr>
        <w:t>arbitrariness</w:t>
      </w:r>
      <w:proofErr w:type="spellEnd"/>
      <w:r w:rsidRPr="00B82210">
        <w:rPr>
          <w:rFonts w:ascii="Times New Roman" w:hAnsi="Times New Roman" w:cs="Times New Roman"/>
          <w:lang w:eastAsia="fr-FR"/>
        </w:rPr>
        <w:t xml:space="preserve">”. Prøvelsesorganet skal være tilstrækkeligt upartisk. Det må derfor formentlig antages, at det ikke kan overlades til officerer fra de væbnede styrker at udføre prøvelsen. Det er </w:t>
      </w:r>
      <w:r w:rsidR="00B82210" w:rsidRPr="00B82210">
        <w:rPr>
          <w:rFonts w:ascii="Times New Roman" w:hAnsi="Times New Roman" w:cs="Times New Roman"/>
          <w:lang w:eastAsia="fr-FR"/>
        </w:rPr>
        <w:t>muligt</w:t>
      </w:r>
      <w:r w:rsidRPr="00B82210">
        <w:rPr>
          <w:rFonts w:ascii="Times New Roman" w:hAnsi="Times New Roman" w:cs="Times New Roman"/>
          <w:lang w:eastAsia="fr-FR"/>
        </w:rPr>
        <w:t xml:space="preserve">, at militærjurister vil kunne opfylde kravet, selv om de selvsagt ikke nyder en almindelig domstols uafhængighed af militæret.  </w:t>
      </w:r>
    </w:p>
    <w:p w:rsidR="004A013C" w:rsidRPr="00B82210" w:rsidRDefault="004A013C" w:rsidP="00C26E48">
      <w:pPr>
        <w:pStyle w:val="Default"/>
        <w:spacing w:before="100" w:beforeAutospacing="1" w:line="360" w:lineRule="auto"/>
        <w:jc w:val="both"/>
        <w:rPr>
          <w:rFonts w:ascii="Times New Roman" w:hAnsi="Times New Roman" w:cs="Times New Roman"/>
        </w:rPr>
      </w:pPr>
      <w:proofErr w:type="spellStart"/>
      <w:r w:rsidRPr="00B82210">
        <w:rPr>
          <w:rFonts w:ascii="Times New Roman" w:hAnsi="Times New Roman" w:cs="Times New Roman"/>
          <w:lang w:val="en-US" w:eastAsia="fr-FR"/>
        </w:rPr>
        <w:t>Hvad</w:t>
      </w:r>
      <w:proofErr w:type="spellEnd"/>
      <w:r w:rsidRPr="00B82210">
        <w:rPr>
          <w:rFonts w:ascii="Times New Roman" w:hAnsi="Times New Roman" w:cs="Times New Roman"/>
          <w:lang w:val="en-US" w:eastAsia="fr-FR"/>
        </w:rPr>
        <w:t xml:space="preserve"> </w:t>
      </w:r>
      <w:proofErr w:type="spellStart"/>
      <w:r w:rsidRPr="00B82210">
        <w:rPr>
          <w:rFonts w:ascii="Times New Roman" w:hAnsi="Times New Roman" w:cs="Times New Roman"/>
          <w:lang w:val="en-US" w:eastAsia="fr-FR"/>
        </w:rPr>
        <w:t>angår</w:t>
      </w:r>
      <w:proofErr w:type="spellEnd"/>
      <w:r w:rsidRPr="00B82210">
        <w:rPr>
          <w:rFonts w:ascii="Times New Roman" w:hAnsi="Times New Roman" w:cs="Times New Roman"/>
          <w:lang w:val="en-US" w:eastAsia="fr-FR"/>
        </w:rPr>
        <w:t xml:space="preserve"> </w:t>
      </w:r>
      <w:proofErr w:type="spellStart"/>
      <w:r w:rsidRPr="00B82210">
        <w:rPr>
          <w:rFonts w:ascii="Times New Roman" w:hAnsi="Times New Roman" w:cs="Times New Roman"/>
          <w:lang w:val="en-US" w:eastAsia="fr-FR"/>
        </w:rPr>
        <w:t>processen</w:t>
      </w:r>
      <w:proofErr w:type="spellEnd"/>
      <w:r w:rsidRPr="00B82210">
        <w:rPr>
          <w:rFonts w:ascii="Times New Roman" w:hAnsi="Times New Roman" w:cs="Times New Roman"/>
          <w:lang w:val="en-US" w:eastAsia="fr-FR"/>
        </w:rPr>
        <w:t xml:space="preserve">, stiller EMD </w:t>
      </w:r>
      <w:proofErr w:type="spellStart"/>
      <w:r w:rsidRPr="00B82210">
        <w:rPr>
          <w:rFonts w:ascii="Times New Roman" w:hAnsi="Times New Roman" w:cs="Times New Roman"/>
          <w:lang w:val="en-US" w:eastAsia="fr-FR"/>
        </w:rPr>
        <w:t>krav</w:t>
      </w:r>
      <w:proofErr w:type="spellEnd"/>
      <w:r w:rsidRPr="00B82210">
        <w:rPr>
          <w:rFonts w:ascii="Times New Roman" w:hAnsi="Times New Roman" w:cs="Times New Roman"/>
          <w:lang w:val="en-US" w:eastAsia="fr-FR"/>
        </w:rPr>
        <w:t xml:space="preserve"> </w:t>
      </w:r>
      <w:proofErr w:type="gramStart"/>
      <w:r w:rsidRPr="00B82210">
        <w:rPr>
          <w:rFonts w:ascii="Times New Roman" w:hAnsi="Times New Roman" w:cs="Times New Roman"/>
          <w:lang w:val="en-US" w:eastAsia="fr-FR"/>
        </w:rPr>
        <w:t>om ”</w:t>
      </w:r>
      <w:proofErr w:type="gramEnd"/>
      <w:r w:rsidRPr="00B82210">
        <w:rPr>
          <w:rFonts w:ascii="Times New Roman" w:hAnsi="Times New Roman" w:cs="Times New Roman"/>
          <w:lang w:val="en-US" w:eastAsia="fr-FR"/>
        </w:rPr>
        <w:t xml:space="preserve">sufficient guarantees of fair procedure to protect against arbitrariness”. </w:t>
      </w:r>
      <w:r w:rsidRPr="00B82210">
        <w:rPr>
          <w:rFonts w:ascii="Times New Roman" w:hAnsi="Times New Roman" w:cs="Times New Roman"/>
          <w:lang w:eastAsia="fr-FR"/>
        </w:rPr>
        <w:t xml:space="preserve">Det er ikke </w:t>
      </w:r>
      <w:r w:rsidR="00632506">
        <w:rPr>
          <w:rFonts w:ascii="Times New Roman" w:hAnsi="Times New Roman" w:cs="Times New Roman"/>
          <w:lang w:eastAsia="fr-FR"/>
        </w:rPr>
        <w:t>oplagt</w:t>
      </w:r>
      <w:r w:rsidRPr="00B82210">
        <w:rPr>
          <w:rFonts w:ascii="Times New Roman" w:hAnsi="Times New Roman" w:cs="Times New Roman"/>
          <w:lang w:eastAsia="fr-FR"/>
        </w:rPr>
        <w:t xml:space="preserve">, hvad der ligger heri. Der skal dog foretages en reel prøvelse, hvor det essentielle faktuelle grundlag for sikkerhedsinterneringen lægges frem, og hvor den internerede </w:t>
      </w:r>
      <w:r w:rsidR="00B82210" w:rsidRPr="00B82210">
        <w:rPr>
          <w:rFonts w:ascii="Times New Roman" w:hAnsi="Times New Roman" w:cs="Times New Roman"/>
          <w:lang w:eastAsia="fr-FR"/>
        </w:rPr>
        <w:t>får</w:t>
      </w:r>
      <w:r w:rsidRPr="00B82210">
        <w:rPr>
          <w:rFonts w:ascii="Times New Roman" w:hAnsi="Times New Roman" w:cs="Times New Roman"/>
          <w:lang w:eastAsia="fr-FR"/>
        </w:rPr>
        <w:t xml:space="preserve"> mulighed for at anfægte den internerende myndigheds begrundelse. Det forekommer temmelig oplagt, at det ikke vil være tilstrækkeligt blot at meddele den sikkerhedsinternerede, at han er frihedsberøvet, fordi han anses for en ”kvalificeret sikkerhedsrisiko”. Grundlaget for risikovurderingen må ubetinget lægges frem i en form, som gør </w:t>
      </w:r>
      <w:r w:rsidRPr="00B82210">
        <w:rPr>
          <w:rFonts w:ascii="Times New Roman" w:hAnsi="Times New Roman" w:cs="Times New Roman"/>
          <w:lang w:eastAsia="fr-FR"/>
        </w:rPr>
        <w:lastRenderedPageBreak/>
        <w:t xml:space="preserve">det muligt for den internerede (eller hans repræsentant) at ’forsvare sig’. Der kan </w:t>
      </w:r>
      <w:r w:rsidR="00632506">
        <w:rPr>
          <w:rFonts w:ascii="Times New Roman" w:hAnsi="Times New Roman" w:cs="Times New Roman"/>
          <w:lang w:eastAsia="fr-FR"/>
        </w:rPr>
        <w:t xml:space="preserve">næppe </w:t>
      </w:r>
      <w:r w:rsidRPr="00B82210">
        <w:rPr>
          <w:rFonts w:ascii="Times New Roman" w:hAnsi="Times New Roman" w:cs="Times New Roman"/>
          <w:lang w:eastAsia="fr-FR"/>
        </w:rPr>
        <w:t xml:space="preserve">tages et </w:t>
      </w:r>
      <w:r w:rsidR="00632506">
        <w:rPr>
          <w:rFonts w:ascii="Times New Roman" w:hAnsi="Times New Roman" w:cs="Times New Roman"/>
          <w:lang w:eastAsia="fr-FR"/>
        </w:rPr>
        <w:t xml:space="preserve">generelt </w:t>
      </w:r>
      <w:r w:rsidRPr="00B82210">
        <w:rPr>
          <w:rFonts w:ascii="Times New Roman" w:hAnsi="Times New Roman" w:cs="Times New Roman"/>
          <w:lang w:eastAsia="fr-FR"/>
        </w:rPr>
        <w:t xml:space="preserve">forbehold om, at grundlaget kun fremlægges, ”hvor dette er muligt under hensyn til klassifikation af materialet”. Et sådant forbehold vil efter vores opfattelse skabe en meget reel risiko for det, som retagarantierne skal forhindre: vilkårlige sikkerhedsinterneringer.     </w:t>
      </w:r>
    </w:p>
    <w:p w:rsidR="004A013C" w:rsidRDefault="00B82210" w:rsidP="00C26E48">
      <w:pPr>
        <w:spacing w:before="100" w:beforeAutospacing="1" w:after="0" w:line="360" w:lineRule="auto"/>
        <w:jc w:val="both"/>
        <w:rPr>
          <w:rFonts w:ascii="Times New Roman" w:hAnsi="Times New Roman" w:cs="Times New Roman"/>
          <w:sz w:val="24"/>
          <w:szCs w:val="24"/>
          <w:lang w:val="da-DK"/>
        </w:rPr>
      </w:pPr>
      <w:r w:rsidRPr="00B82210">
        <w:rPr>
          <w:rFonts w:ascii="Times New Roman" w:hAnsi="Times New Roman" w:cs="Times New Roman"/>
          <w:sz w:val="24"/>
          <w:szCs w:val="24"/>
          <w:lang w:val="da-DK"/>
        </w:rPr>
        <w:t xml:space="preserve">Henvisningen på </w:t>
      </w:r>
      <w:r w:rsidR="004A013C" w:rsidRPr="00B82210">
        <w:rPr>
          <w:rFonts w:ascii="Times New Roman" w:hAnsi="Times New Roman" w:cs="Times New Roman"/>
          <w:sz w:val="24"/>
          <w:szCs w:val="24"/>
          <w:lang w:val="da-DK"/>
        </w:rPr>
        <w:t>s. 414</w:t>
      </w:r>
      <w:r w:rsidRPr="00B82210">
        <w:rPr>
          <w:rFonts w:ascii="Times New Roman" w:hAnsi="Times New Roman" w:cs="Times New Roman"/>
          <w:sz w:val="24"/>
          <w:szCs w:val="24"/>
          <w:lang w:val="da-DK"/>
        </w:rPr>
        <w:t xml:space="preserve"> øverst </w:t>
      </w:r>
      <w:r w:rsidR="004A013C" w:rsidRPr="00B82210">
        <w:rPr>
          <w:rFonts w:ascii="Times New Roman" w:hAnsi="Times New Roman" w:cs="Times New Roman"/>
          <w:sz w:val="24"/>
          <w:szCs w:val="24"/>
          <w:lang w:val="da-DK"/>
        </w:rPr>
        <w:t xml:space="preserve">til et menneskeretligt krav om ”ufortøvet fremstilling for en dommer for at få grunden til sin frihedsberøvelse prøvet” forekommer </w:t>
      </w:r>
      <w:r w:rsidRPr="00B82210">
        <w:rPr>
          <w:rFonts w:ascii="Times New Roman" w:hAnsi="Times New Roman" w:cs="Times New Roman"/>
          <w:sz w:val="24"/>
          <w:szCs w:val="24"/>
          <w:lang w:val="da-DK"/>
        </w:rPr>
        <w:t xml:space="preserve">ikke </w:t>
      </w:r>
      <w:r w:rsidR="004A013C" w:rsidRPr="00B82210">
        <w:rPr>
          <w:rFonts w:ascii="Times New Roman" w:hAnsi="Times New Roman" w:cs="Times New Roman"/>
          <w:sz w:val="24"/>
          <w:szCs w:val="24"/>
          <w:lang w:val="da-DK"/>
        </w:rPr>
        <w:t xml:space="preserve">rammende i forbindelse med sikkerhedsinternering. Kravet om automatisk og ufortøvet domstolsprøvelse gælder efter menneskeretten kun for personer, der anholdes på en mistanke om forbrydelse, jf. EMRK artikel 5(3) og ICCPR artikel 9(3). For alle andre frihedsberøvelser stiller menneskeretten alene krav om en adgang til at indbringe sagen for en domstol, som hurtigt/uden ophold skal tage stilling til frihedsberøvelsens lovlighed, jf. EMRK artikel 5(4) og ICCPR artikel 9(4). </w:t>
      </w:r>
    </w:p>
    <w:p w:rsidR="00C2577F" w:rsidRPr="000F73AC" w:rsidRDefault="00C2577F" w:rsidP="00C26E48">
      <w:pPr>
        <w:spacing w:before="100" w:beforeAutospacing="1" w:after="0" w:line="360" w:lineRule="auto"/>
        <w:jc w:val="both"/>
        <w:rPr>
          <w:rFonts w:ascii="Times New Roman" w:hAnsi="Times New Roman" w:cs="Times New Roman"/>
          <w:sz w:val="24"/>
          <w:szCs w:val="24"/>
          <w:lang w:val="da-DK"/>
        </w:rPr>
      </w:pPr>
      <w:r>
        <w:rPr>
          <w:rFonts w:ascii="Times New Roman" w:hAnsi="Times New Roman" w:cs="Times New Roman"/>
          <w:sz w:val="24"/>
          <w:szCs w:val="24"/>
          <w:lang w:val="da-DK"/>
        </w:rPr>
        <w:t xml:space="preserve">Afsnit 14.2.2. vedrører forbuddet mod </w:t>
      </w:r>
      <w:r w:rsidRPr="00632506">
        <w:rPr>
          <w:rFonts w:ascii="Times New Roman" w:hAnsi="Times New Roman" w:cs="Times New Roman"/>
          <w:i/>
          <w:sz w:val="24"/>
          <w:szCs w:val="24"/>
          <w:lang w:val="da-DK"/>
        </w:rPr>
        <w:t>non-</w:t>
      </w:r>
      <w:proofErr w:type="spellStart"/>
      <w:r w:rsidRPr="00632506">
        <w:rPr>
          <w:rFonts w:ascii="Times New Roman" w:hAnsi="Times New Roman" w:cs="Times New Roman"/>
          <w:i/>
          <w:sz w:val="24"/>
          <w:szCs w:val="24"/>
          <w:lang w:val="da-DK"/>
        </w:rPr>
        <w:t>refoulement</w:t>
      </w:r>
      <w:proofErr w:type="spellEnd"/>
      <w:r>
        <w:rPr>
          <w:rFonts w:ascii="Times New Roman" w:hAnsi="Times New Roman" w:cs="Times New Roman"/>
          <w:sz w:val="24"/>
          <w:szCs w:val="24"/>
          <w:lang w:val="da-DK"/>
        </w:rPr>
        <w:t xml:space="preserve"> og det fremgår på s. 452, at Danmark ikke må overdrage i tilfælde af risiko for tortur eller anden umenneskelig eller nedværdigende behandling </w:t>
      </w:r>
      <w:r w:rsidRPr="000F73AC">
        <w:rPr>
          <w:rFonts w:ascii="Times New Roman" w:hAnsi="Times New Roman" w:cs="Times New Roman"/>
          <w:sz w:val="24"/>
          <w:szCs w:val="24"/>
          <w:lang w:val="da-DK"/>
        </w:rPr>
        <w:t>eller hvis der er risiko for dødsstraf eller livstidsstraf uden mulighed for strafnedsættelse. Praksis fra EMD indikerer, at forbuddet mod non-</w:t>
      </w:r>
      <w:proofErr w:type="spellStart"/>
      <w:r w:rsidRPr="000F73AC">
        <w:rPr>
          <w:rFonts w:ascii="Times New Roman" w:hAnsi="Times New Roman" w:cs="Times New Roman"/>
          <w:sz w:val="24"/>
          <w:szCs w:val="24"/>
          <w:lang w:val="da-DK"/>
        </w:rPr>
        <w:t>refoulement</w:t>
      </w:r>
      <w:proofErr w:type="spellEnd"/>
      <w:r w:rsidRPr="000F73AC">
        <w:rPr>
          <w:rFonts w:ascii="Times New Roman" w:hAnsi="Times New Roman" w:cs="Times New Roman"/>
          <w:sz w:val="24"/>
          <w:szCs w:val="24"/>
          <w:lang w:val="da-DK"/>
        </w:rPr>
        <w:t xml:space="preserve"> også kan komme i spil i forhold til andre rettigheder, herunder i forhold til en risiko for en særdeles uretfærdig rettergang (’flagrant </w:t>
      </w:r>
      <w:proofErr w:type="spellStart"/>
      <w:r w:rsidRPr="000F73AC">
        <w:rPr>
          <w:rFonts w:ascii="Times New Roman" w:hAnsi="Times New Roman" w:cs="Times New Roman"/>
          <w:sz w:val="24"/>
          <w:szCs w:val="24"/>
          <w:lang w:val="da-DK"/>
        </w:rPr>
        <w:t>denial</w:t>
      </w:r>
      <w:proofErr w:type="spellEnd"/>
      <w:r w:rsidRPr="000F73AC">
        <w:rPr>
          <w:rFonts w:ascii="Times New Roman" w:hAnsi="Times New Roman" w:cs="Times New Roman"/>
          <w:sz w:val="24"/>
          <w:szCs w:val="24"/>
          <w:lang w:val="da-DK"/>
        </w:rPr>
        <w:t xml:space="preserve"> of </w:t>
      </w:r>
      <w:proofErr w:type="spellStart"/>
      <w:r w:rsidRPr="000F73AC">
        <w:rPr>
          <w:rFonts w:ascii="Times New Roman" w:hAnsi="Times New Roman" w:cs="Times New Roman"/>
          <w:sz w:val="24"/>
          <w:szCs w:val="24"/>
          <w:lang w:val="da-DK"/>
        </w:rPr>
        <w:t>justice</w:t>
      </w:r>
      <w:proofErr w:type="spellEnd"/>
      <w:r w:rsidRPr="000F73AC">
        <w:rPr>
          <w:rFonts w:ascii="Times New Roman" w:hAnsi="Times New Roman" w:cs="Times New Roman"/>
          <w:sz w:val="24"/>
          <w:szCs w:val="24"/>
          <w:lang w:val="da-DK"/>
        </w:rPr>
        <w:t xml:space="preserve">’). </w:t>
      </w:r>
      <w:r w:rsidR="00C423C9" w:rsidRPr="000F73AC">
        <w:rPr>
          <w:rFonts w:ascii="Times New Roman" w:hAnsi="Times New Roman" w:cs="Times New Roman"/>
          <w:sz w:val="24"/>
          <w:szCs w:val="24"/>
          <w:lang w:val="da-DK"/>
        </w:rPr>
        <w:t xml:space="preserve">Manualen bør forholde sig hertil. </w:t>
      </w:r>
      <w:r w:rsidRPr="000F73AC">
        <w:rPr>
          <w:rFonts w:ascii="Times New Roman" w:hAnsi="Times New Roman" w:cs="Times New Roman"/>
          <w:sz w:val="24"/>
          <w:szCs w:val="24"/>
          <w:lang w:val="da-DK"/>
        </w:rPr>
        <w:t xml:space="preserve"> </w:t>
      </w:r>
    </w:p>
    <w:p w:rsidR="005B6066" w:rsidRDefault="005B6066" w:rsidP="00C26E48">
      <w:pPr>
        <w:spacing w:before="100" w:beforeAutospacing="1" w:after="0" w:line="240" w:lineRule="auto"/>
        <w:rPr>
          <w:rFonts w:ascii="Times New Roman" w:hAnsi="Times New Roman" w:cs="Times New Roman"/>
          <w:i/>
          <w:sz w:val="24"/>
          <w:szCs w:val="24"/>
          <w:lang w:val="da-DK"/>
        </w:rPr>
      </w:pPr>
    </w:p>
    <w:p w:rsidR="00884931" w:rsidRDefault="00884931" w:rsidP="00C26E48">
      <w:pPr>
        <w:spacing w:before="100" w:beforeAutospacing="1" w:after="0" w:line="240" w:lineRule="auto"/>
        <w:rPr>
          <w:rFonts w:ascii="Times New Roman" w:hAnsi="Times New Roman" w:cs="Times New Roman"/>
          <w:i/>
          <w:sz w:val="24"/>
          <w:szCs w:val="24"/>
          <w:lang w:val="da-DK"/>
        </w:rPr>
      </w:pPr>
      <w:r w:rsidRPr="000F73AC">
        <w:rPr>
          <w:rFonts w:ascii="Times New Roman" w:hAnsi="Times New Roman" w:cs="Times New Roman"/>
          <w:i/>
          <w:sz w:val="24"/>
          <w:szCs w:val="24"/>
          <w:lang w:val="da-DK"/>
        </w:rPr>
        <w:t xml:space="preserve">København den </w:t>
      </w:r>
      <w:r w:rsidR="00C97074">
        <w:rPr>
          <w:rFonts w:ascii="Times New Roman" w:hAnsi="Times New Roman" w:cs="Times New Roman"/>
          <w:i/>
          <w:sz w:val="24"/>
          <w:szCs w:val="24"/>
          <w:lang w:val="da-DK"/>
        </w:rPr>
        <w:t>1</w:t>
      </w:r>
      <w:bookmarkStart w:id="0" w:name="_GoBack"/>
      <w:bookmarkEnd w:id="0"/>
      <w:r w:rsidRPr="000F73AC">
        <w:rPr>
          <w:rFonts w:ascii="Times New Roman" w:hAnsi="Times New Roman" w:cs="Times New Roman"/>
          <w:i/>
          <w:sz w:val="24"/>
          <w:szCs w:val="24"/>
          <w:lang w:val="da-DK"/>
        </w:rPr>
        <w:t>. marts 2016</w:t>
      </w:r>
    </w:p>
    <w:p w:rsidR="00DD5C6D" w:rsidRPr="00397ED0" w:rsidRDefault="00DD5C6D" w:rsidP="00DD5C6D">
      <w:pPr>
        <w:spacing w:after="0" w:line="240" w:lineRule="auto"/>
        <w:rPr>
          <w:rFonts w:ascii="Times New Roman" w:hAnsi="Times New Roman" w:cs="Times New Roman"/>
          <w:i/>
          <w:sz w:val="24"/>
          <w:szCs w:val="24"/>
          <w:lang w:val="da-DK"/>
        </w:rPr>
      </w:pPr>
      <w:r w:rsidRPr="00397ED0">
        <w:rPr>
          <w:rFonts w:ascii="Times New Roman" w:hAnsi="Times New Roman" w:cs="Times New Roman"/>
          <w:i/>
          <w:sz w:val="24"/>
          <w:szCs w:val="24"/>
          <w:lang w:val="da-DK"/>
        </w:rPr>
        <w:t xml:space="preserve">Centre for international Law, </w:t>
      </w:r>
      <w:proofErr w:type="spellStart"/>
      <w:r w:rsidRPr="00397ED0">
        <w:rPr>
          <w:rFonts w:ascii="Times New Roman" w:hAnsi="Times New Roman" w:cs="Times New Roman"/>
          <w:i/>
          <w:sz w:val="24"/>
          <w:szCs w:val="24"/>
          <w:lang w:val="da-DK"/>
        </w:rPr>
        <w:t>Conflict</w:t>
      </w:r>
      <w:proofErr w:type="spellEnd"/>
      <w:r w:rsidRPr="00397ED0">
        <w:rPr>
          <w:rFonts w:ascii="Times New Roman" w:hAnsi="Times New Roman" w:cs="Times New Roman"/>
          <w:i/>
          <w:sz w:val="24"/>
          <w:szCs w:val="24"/>
          <w:lang w:val="da-DK"/>
        </w:rPr>
        <w:t xml:space="preserve"> and </w:t>
      </w:r>
      <w:proofErr w:type="spellStart"/>
      <w:r w:rsidRPr="00397ED0">
        <w:rPr>
          <w:rFonts w:ascii="Times New Roman" w:hAnsi="Times New Roman" w:cs="Times New Roman"/>
          <w:i/>
          <w:sz w:val="24"/>
          <w:szCs w:val="24"/>
          <w:lang w:val="da-DK"/>
        </w:rPr>
        <w:t>Crisis</w:t>
      </w:r>
      <w:proofErr w:type="spellEnd"/>
      <w:r w:rsidRPr="00397ED0">
        <w:rPr>
          <w:rFonts w:ascii="Times New Roman" w:hAnsi="Times New Roman" w:cs="Times New Roman"/>
          <w:i/>
          <w:sz w:val="24"/>
          <w:szCs w:val="24"/>
          <w:lang w:val="da-DK"/>
        </w:rPr>
        <w:t xml:space="preserve"> </w:t>
      </w:r>
    </w:p>
    <w:p w:rsidR="00DD5C6D" w:rsidRDefault="00DD5C6D" w:rsidP="00DD5C6D">
      <w:pPr>
        <w:spacing w:after="0" w:line="240" w:lineRule="auto"/>
        <w:rPr>
          <w:rFonts w:ascii="Times New Roman" w:hAnsi="Times New Roman" w:cs="Times New Roman"/>
          <w:i/>
          <w:sz w:val="24"/>
          <w:szCs w:val="24"/>
          <w:lang w:val="en-US"/>
        </w:rPr>
      </w:pPr>
      <w:proofErr w:type="spellStart"/>
      <w:r>
        <w:rPr>
          <w:rFonts w:ascii="Times New Roman" w:hAnsi="Times New Roman" w:cs="Times New Roman"/>
          <w:i/>
          <w:sz w:val="24"/>
          <w:szCs w:val="24"/>
          <w:lang w:val="en-US"/>
        </w:rPr>
        <w:t>Det</w:t>
      </w:r>
      <w:proofErr w:type="spellEnd"/>
      <w:r>
        <w:rPr>
          <w:rFonts w:ascii="Times New Roman" w:hAnsi="Times New Roman" w:cs="Times New Roman"/>
          <w:i/>
          <w:sz w:val="24"/>
          <w:szCs w:val="24"/>
          <w:lang w:val="en-US"/>
        </w:rPr>
        <w:t xml:space="preserve"> </w:t>
      </w:r>
      <w:proofErr w:type="spellStart"/>
      <w:r>
        <w:rPr>
          <w:rFonts w:ascii="Times New Roman" w:hAnsi="Times New Roman" w:cs="Times New Roman"/>
          <w:i/>
          <w:sz w:val="24"/>
          <w:szCs w:val="24"/>
          <w:lang w:val="en-US"/>
        </w:rPr>
        <w:t>Juridiske</w:t>
      </w:r>
      <w:proofErr w:type="spellEnd"/>
      <w:r>
        <w:rPr>
          <w:rFonts w:ascii="Times New Roman" w:hAnsi="Times New Roman" w:cs="Times New Roman"/>
          <w:i/>
          <w:sz w:val="24"/>
          <w:szCs w:val="24"/>
          <w:lang w:val="en-US"/>
        </w:rPr>
        <w:t xml:space="preserve"> </w:t>
      </w:r>
      <w:proofErr w:type="spellStart"/>
      <w:r>
        <w:rPr>
          <w:rFonts w:ascii="Times New Roman" w:hAnsi="Times New Roman" w:cs="Times New Roman"/>
          <w:i/>
          <w:sz w:val="24"/>
          <w:szCs w:val="24"/>
          <w:lang w:val="en-US"/>
        </w:rPr>
        <w:t>Fakultet</w:t>
      </w:r>
      <w:proofErr w:type="spellEnd"/>
    </w:p>
    <w:p w:rsidR="00DD5C6D" w:rsidRPr="00DD5C6D" w:rsidRDefault="00DD5C6D" w:rsidP="00DD5C6D">
      <w:pPr>
        <w:spacing w:after="0" w:line="240" w:lineRule="auto"/>
        <w:rPr>
          <w:rFonts w:ascii="Times New Roman" w:hAnsi="Times New Roman" w:cs="Times New Roman"/>
          <w:i/>
          <w:sz w:val="24"/>
          <w:szCs w:val="24"/>
          <w:lang w:val="en-US"/>
        </w:rPr>
      </w:pPr>
      <w:proofErr w:type="spellStart"/>
      <w:r>
        <w:rPr>
          <w:rFonts w:ascii="Times New Roman" w:hAnsi="Times New Roman" w:cs="Times New Roman"/>
          <w:i/>
          <w:sz w:val="24"/>
          <w:szCs w:val="24"/>
          <w:lang w:val="en-US"/>
        </w:rPr>
        <w:t>Københavns</w:t>
      </w:r>
      <w:proofErr w:type="spellEnd"/>
      <w:r>
        <w:rPr>
          <w:rFonts w:ascii="Times New Roman" w:hAnsi="Times New Roman" w:cs="Times New Roman"/>
          <w:i/>
          <w:sz w:val="24"/>
          <w:szCs w:val="24"/>
          <w:lang w:val="en-US"/>
        </w:rPr>
        <w:t xml:space="preserve"> </w:t>
      </w:r>
      <w:proofErr w:type="spellStart"/>
      <w:r>
        <w:rPr>
          <w:rFonts w:ascii="Times New Roman" w:hAnsi="Times New Roman" w:cs="Times New Roman"/>
          <w:i/>
          <w:sz w:val="24"/>
          <w:szCs w:val="24"/>
          <w:lang w:val="en-US"/>
        </w:rPr>
        <w:t>Universitet</w:t>
      </w:r>
      <w:proofErr w:type="spellEnd"/>
    </w:p>
    <w:sectPr w:rsidR="00DD5C6D" w:rsidRPr="00DD5C6D">
      <w:footerReference w:type="default" r:id="rId8"/>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7F0A" w:rsidRDefault="00957F0A" w:rsidP="00C423C9">
      <w:pPr>
        <w:spacing w:after="0" w:line="240" w:lineRule="auto"/>
      </w:pPr>
      <w:r>
        <w:separator/>
      </w:r>
    </w:p>
  </w:endnote>
  <w:endnote w:type="continuationSeparator" w:id="0">
    <w:p w:rsidR="00957F0A" w:rsidRDefault="00957F0A" w:rsidP="00C423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268634"/>
      <w:docPartObj>
        <w:docPartGallery w:val="Page Numbers (Bottom of Page)"/>
        <w:docPartUnique/>
      </w:docPartObj>
    </w:sdtPr>
    <w:sdtEndPr/>
    <w:sdtContent>
      <w:p w:rsidR="00C423C9" w:rsidRDefault="00C423C9">
        <w:pPr>
          <w:pStyle w:val="Sidefod"/>
          <w:jc w:val="right"/>
        </w:pPr>
        <w:r>
          <w:fldChar w:fldCharType="begin"/>
        </w:r>
        <w:r>
          <w:instrText>PAGE   \* MERGEFORMAT</w:instrText>
        </w:r>
        <w:r>
          <w:fldChar w:fldCharType="separate"/>
        </w:r>
        <w:r w:rsidR="00C97074" w:rsidRPr="00C97074">
          <w:rPr>
            <w:noProof/>
            <w:lang w:val="da-DK"/>
          </w:rPr>
          <w:t>6</w:t>
        </w:r>
        <w:r>
          <w:fldChar w:fldCharType="end"/>
        </w:r>
      </w:p>
    </w:sdtContent>
  </w:sdt>
  <w:p w:rsidR="00C423C9" w:rsidRDefault="00C423C9">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7F0A" w:rsidRDefault="00957F0A" w:rsidP="00C423C9">
      <w:pPr>
        <w:spacing w:after="0" w:line="240" w:lineRule="auto"/>
      </w:pPr>
      <w:r>
        <w:separator/>
      </w:r>
    </w:p>
  </w:footnote>
  <w:footnote w:type="continuationSeparator" w:id="0">
    <w:p w:rsidR="00957F0A" w:rsidRDefault="00957F0A" w:rsidP="00C423C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E4147E"/>
    <w:multiLevelType w:val="hybridMultilevel"/>
    <w:tmpl w:val="9304657A"/>
    <w:lvl w:ilvl="0" w:tplc="A45E27C8">
      <w:start w:val="1060"/>
      <w:numFmt w:val="bullet"/>
      <w:lvlText w:val="-"/>
      <w:lvlJc w:val="left"/>
      <w:pPr>
        <w:ind w:left="720" w:hanging="360"/>
      </w:pPr>
      <w:rPr>
        <w:rFonts w:ascii="Times New Roman" w:eastAsiaTheme="minorHAnsi"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48FD6853"/>
    <w:multiLevelType w:val="hybridMultilevel"/>
    <w:tmpl w:val="01CC374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13C"/>
    <w:rsid w:val="00033DE3"/>
    <w:rsid w:val="000F73AC"/>
    <w:rsid w:val="00164735"/>
    <w:rsid w:val="00194192"/>
    <w:rsid w:val="001C1BCA"/>
    <w:rsid w:val="001C217A"/>
    <w:rsid w:val="002104CC"/>
    <w:rsid w:val="00257263"/>
    <w:rsid w:val="00381759"/>
    <w:rsid w:val="00397ED0"/>
    <w:rsid w:val="0042072C"/>
    <w:rsid w:val="00424BFF"/>
    <w:rsid w:val="00483F1F"/>
    <w:rsid w:val="004A013C"/>
    <w:rsid w:val="005B6066"/>
    <w:rsid w:val="00632506"/>
    <w:rsid w:val="006C2270"/>
    <w:rsid w:val="00884931"/>
    <w:rsid w:val="00891602"/>
    <w:rsid w:val="00900BC2"/>
    <w:rsid w:val="009325B9"/>
    <w:rsid w:val="00957F0A"/>
    <w:rsid w:val="009929CF"/>
    <w:rsid w:val="00A058A7"/>
    <w:rsid w:val="00A61314"/>
    <w:rsid w:val="00A67FB0"/>
    <w:rsid w:val="00A800AA"/>
    <w:rsid w:val="00B57118"/>
    <w:rsid w:val="00B82210"/>
    <w:rsid w:val="00BA5AF3"/>
    <w:rsid w:val="00BC550C"/>
    <w:rsid w:val="00C17D3E"/>
    <w:rsid w:val="00C2577F"/>
    <w:rsid w:val="00C26E48"/>
    <w:rsid w:val="00C423C9"/>
    <w:rsid w:val="00C97074"/>
    <w:rsid w:val="00CB7A6A"/>
    <w:rsid w:val="00DB532D"/>
    <w:rsid w:val="00DC7884"/>
    <w:rsid w:val="00DD5C6D"/>
    <w:rsid w:val="00EE4C39"/>
    <w:rsid w:val="00FF1C3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Default">
    <w:name w:val="Default"/>
    <w:rsid w:val="004A013C"/>
    <w:pPr>
      <w:autoSpaceDE w:val="0"/>
      <w:autoSpaceDN w:val="0"/>
      <w:adjustRightInd w:val="0"/>
      <w:spacing w:after="0" w:line="240" w:lineRule="auto"/>
    </w:pPr>
    <w:rPr>
      <w:rFonts w:ascii="Calibri" w:hAnsi="Calibri" w:cs="Calibri"/>
      <w:color w:val="000000"/>
      <w:sz w:val="24"/>
      <w:szCs w:val="24"/>
    </w:rPr>
  </w:style>
  <w:style w:type="paragraph" w:styleId="Markeringsbobletekst">
    <w:name w:val="Balloon Text"/>
    <w:basedOn w:val="Normal"/>
    <w:link w:val="MarkeringsbobletekstTegn"/>
    <w:uiPriority w:val="99"/>
    <w:semiHidden/>
    <w:unhideWhenUsed/>
    <w:rsid w:val="004A013C"/>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4A013C"/>
    <w:rPr>
      <w:rFonts w:ascii="Tahoma" w:hAnsi="Tahoma" w:cs="Tahoma"/>
      <w:sz w:val="16"/>
      <w:szCs w:val="16"/>
      <w:lang w:val="en-GB"/>
    </w:rPr>
  </w:style>
  <w:style w:type="paragraph" w:styleId="Sidehoved">
    <w:name w:val="header"/>
    <w:basedOn w:val="Normal"/>
    <w:link w:val="SidehovedTegn"/>
    <w:uiPriority w:val="99"/>
    <w:unhideWhenUsed/>
    <w:rsid w:val="00C423C9"/>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C423C9"/>
    <w:rPr>
      <w:lang w:val="en-GB"/>
    </w:rPr>
  </w:style>
  <w:style w:type="paragraph" w:styleId="Sidefod">
    <w:name w:val="footer"/>
    <w:basedOn w:val="Normal"/>
    <w:link w:val="SidefodTegn"/>
    <w:uiPriority w:val="99"/>
    <w:unhideWhenUsed/>
    <w:rsid w:val="00C423C9"/>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C423C9"/>
    <w:rPr>
      <w:lang w:val="en-GB"/>
    </w:rPr>
  </w:style>
  <w:style w:type="paragraph" w:styleId="Listeafsnit">
    <w:name w:val="List Paragraph"/>
    <w:basedOn w:val="Normal"/>
    <w:uiPriority w:val="34"/>
    <w:qFormat/>
    <w:rsid w:val="002104CC"/>
    <w:pPr>
      <w:ind w:left="720"/>
      <w:contextualSpacing/>
    </w:pPr>
  </w:style>
  <w:style w:type="character" w:styleId="Kommentarhenvisning">
    <w:name w:val="annotation reference"/>
    <w:basedOn w:val="Standardskrifttypeiafsnit"/>
    <w:uiPriority w:val="99"/>
    <w:semiHidden/>
    <w:unhideWhenUsed/>
    <w:rsid w:val="00DC7884"/>
    <w:rPr>
      <w:sz w:val="16"/>
      <w:szCs w:val="16"/>
    </w:rPr>
  </w:style>
  <w:style w:type="paragraph" w:styleId="Kommentartekst">
    <w:name w:val="annotation text"/>
    <w:basedOn w:val="Normal"/>
    <w:link w:val="KommentartekstTegn"/>
    <w:uiPriority w:val="99"/>
    <w:semiHidden/>
    <w:unhideWhenUsed/>
    <w:rsid w:val="00DC7884"/>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DC7884"/>
    <w:rPr>
      <w:sz w:val="20"/>
      <w:szCs w:val="20"/>
      <w:lang w:val="en-GB"/>
    </w:rPr>
  </w:style>
  <w:style w:type="paragraph" w:styleId="Kommentaremne">
    <w:name w:val="annotation subject"/>
    <w:basedOn w:val="Kommentartekst"/>
    <w:next w:val="Kommentartekst"/>
    <w:link w:val="KommentaremneTegn"/>
    <w:uiPriority w:val="99"/>
    <w:semiHidden/>
    <w:unhideWhenUsed/>
    <w:rsid w:val="00DC7884"/>
    <w:rPr>
      <w:b/>
      <w:bCs/>
    </w:rPr>
  </w:style>
  <w:style w:type="character" w:customStyle="1" w:styleId="KommentaremneTegn">
    <w:name w:val="Kommentaremne Tegn"/>
    <w:basedOn w:val="KommentartekstTegn"/>
    <w:link w:val="Kommentaremne"/>
    <w:uiPriority w:val="99"/>
    <w:semiHidden/>
    <w:rsid w:val="00DC7884"/>
    <w:rPr>
      <w:b/>
      <w:bCs/>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Default">
    <w:name w:val="Default"/>
    <w:rsid w:val="004A013C"/>
    <w:pPr>
      <w:autoSpaceDE w:val="0"/>
      <w:autoSpaceDN w:val="0"/>
      <w:adjustRightInd w:val="0"/>
      <w:spacing w:after="0" w:line="240" w:lineRule="auto"/>
    </w:pPr>
    <w:rPr>
      <w:rFonts w:ascii="Calibri" w:hAnsi="Calibri" w:cs="Calibri"/>
      <w:color w:val="000000"/>
      <w:sz w:val="24"/>
      <w:szCs w:val="24"/>
    </w:rPr>
  </w:style>
  <w:style w:type="paragraph" w:styleId="Markeringsbobletekst">
    <w:name w:val="Balloon Text"/>
    <w:basedOn w:val="Normal"/>
    <w:link w:val="MarkeringsbobletekstTegn"/>
    <w:uiPriority w:val="99"/>
    <w:semiHidden/>
    <w:unhideWhenUsed/>
    <w:rsid w:val="004A013C"/>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4A013C"/>
    <w:rPr>
      <w:rFonts w:ascii="Tahoma" w:hAnsi="Tahoma" w:cs="Tahoma"/>
      <w:sz w:val="16"/>
      <w:szCs w:val="16"/>
      <w:lang w:val="en-GB"/>
    </w:rPr>
  </w:style>
  <w:style w:type="paragraph" w:styleId="Sidehoved">
    <w:name w:val="header"/>
    <w:basedOn w:val="Normal"/>
    <w:link w:val="SidehovedTegn"/>
    <w:uiPriority w:val="99"/>
    <w:unhideWhenUsed/>
    <w:rsid w:val="00C423C9"/>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C423C9"/>
    <w:rPr>
      <w:lang w:val="en-GB"/>
    </w:rPr>
  </w:style>
  <w:style w:type="paragraph" w:styleId="Sidefod">
    <w:name w:val="footer"/>
    <w:basedOn w:val="Normal"/>
    <w:link w:val="SidefodTegn"/>
    <w:uiPriority w:val="99"/>
    <w:unhideWhenUsed/>
    <w:rsid w:val="00C423C9"/>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C423C9"/>
    <w:rPr>
      <w:lang w:val="en-GB"/>
    </w:rPr>
  </w:style>
  <w:style w:type="paragraph" w:styleId="Listeafsnit">
    <w:name w:val="List Paragraph"/>
    <w:basedOn w:val="Normal"/>
    <w:uiPriority w:val="34"/>
    <w:qFormat/>
    <w:rsid w:val="002104CC"/>
    <w:pPr>
      <w:ind w:left="720"/>
      <w:contextualSpacing/>
    </w:pPr>
  </w:style>
  <w:style w:type="character" w:styleId="Kommentarhenvisning">
    <w:name w:val="annotation reference"/>
    <w:basedOn w:val="Standardskrifttypeiafsnit"/>
    <w:uiPriority w:val="99"/>
    <w:semiHidden/>
    <w:unhideWhenUsed/>
    <w:rsid w:val="00DC7884"/>
    <w:rPr>
      <w:sz w:val="16"/>
      <w:szCs w:val="16"/>
    </w:rPr>
  </w:style>
  <w:style w:type="paragraph" w:styleId="Kommentartekst">
    <w:name w:val="annotation text"/>
    <w:basedOn w:val="Normal"/>
    <w:link w:val="KommentartekstTegn"/>
    <w:uiPriority w:val="99"/>
    <w:semiHidden/>
    <w:unhideWhenUsed/>
    <w:rsid w:val="00DC7884"/>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DC7884"/>
    <w:rPr>
      <w:sz w:val="20"/>
      <w:szCs w:val="20"/>
      <w:lang w:val="en-GB"/>
    </w:rPr>
  </w:style>
  <w:style w:type="paragraph" w:styleId="Kommentaremne">
    <w:name w:val="annotation subject"/>
    <w:basedOn w:val="Kommentartekst"/>
    <w:next w:val="Kommentartekst"/>
    <w:link w:val="KommentaremneTegn"/>
    <w:uiPriority w:val="99"/>
    <w:semiHidden/>
    <w:unhideWhenUsed/>
    <w:rsid w:val="00DC7884"/>
    <w:rPr>
      <w:b/>
      <w:bCs/>
    </w:rPr>
  </w:style>
  <w:style w:type="character" w:customStyle="1" w:styleId="KommentaremneTegn">
    <w:name w:val="Kommentaremne Tegn"/>
    <w:basedOn w:val="KommentartekstTegn"/>
    <w:link w:val="Kommentaremne"/>
    <w:uiPriority w:val="99"/>
    <w:semiHidden/>
    <w:rsid w:val="00DC7884"/>
    <w:rPr>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254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1790</Words>
  <Characters>10920</Characters>
  <Application>Microsoft Office Word</Application>
  <DocSecurity>0</DocSecurity>
  <Lines>91</Lines>
  <Paragraphs>25</Paragraphs>
  <ScaleCrop>false</ScaleCrop>
  <HeadingPairs>
    <vt:vector size="2" baseType="variant">
      <vt:variant>
        <vt:lpstr>Titel</vt:lpstr>
      </vt:variant>
      <vt:variant>
        <vt:i4>1</vt:i4>
      </vt:variant>
    </vt:vector>
  </HeadingPairs>
  <TitlesOfParts>
    <vt:vector size="1" baseType="lpstr">
      <vt:lpstr/>
    </vt:vector>
  </TitlesOfParts>
  <Company>University of Copenhagen</Company>
  <LinksUpToDate>false</LinksUpToDate>
  <CharactersWithSpaces>12685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Jens Elo Rytter</dc:creator>
  <cp:lastModifiedBy>Anders Henriksen</cp:lastModifiedBy>
  <cp:revision>3</cp:revision>
  <cp:lastPrinted>2016-02-25T15:20:00Z</cp:lastPrinted>
  <dcterms:created xsi:type="dcterms:W3CDTF">2016-03-01T12:29:00Z</dcterms:created>
  <dcterms:modified xsi:type="dcterms:W3CDTF">2016-03-01T12:30:00Z</dcterms:modified>
</cp:coreProperties>
</file>